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firstLine="851"/>
        <w:contextualSpacing/>
        <w:jc w:val="center"/>
        <w:rPr>
          <w:color w:val="000000"/>
          <w:sz w:val="24"/>
          <w:szCs w:val="24"/>
        </w:rPr>
      </w:pPr>
      <w:r>
        <w:rPr>
          <w:color w:val="000000"/>
          <w:sz w:val="24"/>
          <w:szCs w:val="24"/>
        </w:rPr>
        <w:t>Договор подряда № __________</w:t>
      </w:r>
    </w:p>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firstLine="851"/>
        <w:contextualSpacing/>
        <w:jc w:val="center"/>
        <w:rPr>
          <w:color w:val="000000"/>
          <w:sz w:val="24"/>
          <w:szCs w:val="24"/>
        </w:rPr>
      </w:pPr>
      <w:r>
        <w:rPr>
          <w:color w:val="000000"/>
          <w:sz w:val="24"/>
          <w:szCs w:val="24"/>
        </w:rPr>
      </w:r>
    </w:p>
    <w:p>
      <w:pPr>
        <w:pStyle w:val="Normal"/>
        <w:shd w:val="clear" w:color="auto" w:fill="FFFFFF"/>
        <w:tabs>
          <w:tab w:val="clear" w:pos="708"/>
          <w:tab w:val="left" w:pos="709" w:leader="none"/>
          <w:tab w:val="left" w:pos="851" w:leader="none"/>
          <w:tab w:val="right" w:pos="993" w:leader="none"/>
        </w:tabs>
        <w:spacing w:lineRule="auto" w:line="276" w:before="0" w:after="0"/>
        <w:ind w:hanging="0"/>
        <w:contextualSpacing/>
        <w:rPr>
          <w:color w:val="000000"/>
          <w:sz w:val="24"/>
          <w:szCs w:val="24"/>
        </w:rPr>
      </w:pPr>
      <w:r>
        <w:rPr>
          <w:color w:val="000000"/>
          <w:sz w:val="24"/>
          <w:szCs w:val="24"/>
        </w:rPr>
        <w:tab/>
        <w:t>г. Николаевск-на-Амуре</w:t>
        <w:tab/>
        <w:tab/>
        <w:tab/>
        <w:tab/>
        <w:t xml:space="preserve">                       «___» __________2026 г.</w:t>
      </w:r>
    </w:p>
    <w:p>
      <w:pPr>
        <w:pStyle w:val="Normal"/>
        <w:shd w:val="clear" w:color="auto" w:fill="FFFFFF"/>
        <w:tabs>
          <w:tab w:val="clear" w:pos="708"/>
          <w:tab w:val="left" w:pos="851" w:leader="none"/>
          <w:tab w:val="left" w:pos="1560" w:leader="none"/>
          <w:tab w:val="right" w:pos="9639" w:leader="none"/>
        </w:tabs>
        <w:spacing w:lineRule="auto" w:line="276" w:before="0" w:after="0"/>
        <w:ind w:firstLine="851"/>
        <w:contextualSpacing/>
        <w:rPr>
          <w:color w:val="000000"/>
          <w:sz w:val="24"/>
          <w:szCs w:val="24"/>
        </w:rPr>
      </w:pPr>
      <w:r>
        <w:rPr>
          <w:color w:val="000000"/>
          <w:sz w:val="24"/>
          <w:szCs w:val="24"/>
        </w:rPr>
      </w:r>
    </w:p>
    <w:p>
      <w:pPr>
        <w:pStyle w:val="BodyText3"/>
        <w:tabs>
          <w:tab w:val="clear" w:pos="708"/>
          <w:tab w:val="left" w:pos="0" w:leader="none"/>
        </w:tabs>
        <w:spacing w:lineRule="auto" w:line="276"/>
        <w:ind w:firstLine="709"/>
        <w:rPr>
          <w:color w:val="auto"/>
        </w:rPr>
      </w:pPr>
      <w:r>
        <w:rPr>
          <w:color w:val="auto"/>
        </w:rPr>
        <w:t>Акционерное общество «Дальневосточная генерирующая компания» (АО «ДГК») (далее – «Заказчик»), в лице __________________________________________________, с одной стороны, и _______________________________________________________</w:t>
      </w:r>
      <w:r>
        <w:rPr>
          <w:color w:val="000000" w:themeColor="text1"/>
        </w:rPr>
        <w:t>, (далее - «Подрядчик»),</w:t>
      </w:r>
      <w:r>
        <w:rPr>
          <w:color w:val="FF0000"/>
        </w:rPr>
        <w:t xml:space="preserve"> </w:t>
      </w:r>
      <w:r>
        <w:rPr>
          <w:color w:val="000000" w:themeColor="text1"/>
        </w:rPr>
        <w:t xml:space="preserve">в лице ___________________________________, действующего на основании ____________, с другой стороны, совместно в дальнейшем именуемые «Стороны», а по отдельности – «Сторона», </w:t>
      </w:r>
      <w:r>
        <w:rPr>
          <w:color w:val="auto"/>
        </w:rPr>
        <w:t>по результатам проведенной Заказчиком конкурентной процедуры по лоту №</w:t>
      </w:r>
      <w:r>
        <w:rPr>
          <w:color w:val="auto"/>
          <w:u w:val="single"/>
        </w:rPr>
        <w:t xml:space="preserve">                          </w:t>
      </w:r>
      <w:r>
        <w:rPr>
          <w:color w:val="auto"/>
        </w:rPr>
        <w:t>, и на основании Протокола __________________ от «____» __________________ года,</w:t>
      </w:r>
      <w:r>
        <w:rPr>
          <w:color w:val="000000" w:themeColor="text1"/>
        </w:rPr>
        <w:t xml:space="preserve"> заключили н</w:t>
      </w:r>
      <w:r>
        <w:rPr>
          <w:color w:val="auto"/>
        </w:rPr>
        <w:t>астоящий договор (далее – «Договор») о нижеследующем:</w:t>
      </w:r>
    </w:p>
    <w:p>
      <w:pPr>
        <w:pStyle w:val="BodyText3"/>
        <w:tabs>
          <w:tab w:val="clear" w:pos="708"/>
          <w:tab w:val="left" w:pos="0" w:leader="none"/>
        </w:tabs>
        <w:ind w:firstLine="709"/>
        <w:rPr>
          <w:color w:val="auto"/>
          <w:sz w:val="10"/>
          <w:szCs w:val="10"/>
        </w:rPr>
      </w:pPr>
      <w:r>
        <w:rPr>
          <w:color w:val="auto"/>
          <w:sz w:val="10"/>
          <w:szCs w:val="10"/>
        </w:rPr>
      </w:r>
    </w:p>
    <w:p>
      <w:pPr>
        <w:pStyle w:val="ListParagraph"/>
        <w:shd w:val="clear" w:color="auto" w:fill="FFFFFF"/>
        <w:tabs>
          <w:tab w:val="clear" w:pos="708"/>
          <w:tab w:val="left" w:pos="0" w:leader="none"/>
        </w:tabs>
        <w:ind w:left="0" w:hanging="0"/>
        <w:rPr>
          <w:b/>
          <w:bCs/>
        </w:rPr>
      </w:pPr>
      <w:r>
        <w:rPr/>
        <w:t xml:space="preserve">     </w:t>
      </w:r>
      <w:r>
        <w:rPr/>
        <w:tab/>
        <w:tab/>
        <w:tab/>
        <w:tab/>
        <w:tab/>
      </w:r>
      <w:r>
        <w:rPr>
          <w:b/>
          <w:bCs/>
        </w:rPr>
        <w:t>Термины и определения</w:t>
      </w:r>
    </w:p>
    <w:p>
      <w:pPr>
        <w:pStyle w:val="BodyText3"/>
        <w:tabs>
          <w:tab w:val="clear" w:pos="708"/>
          <w:tab w:val="left" w:pos="0" w:leader="none"/>
        </w:tabs>
        <w:spacing w:lineRule="auto" w:line="276" w:before="0" w:after="0"/>
        <w:ind w:firstLine="709"/>
        <w:contextualSpacing/>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spacing w:lineRule="auto" w:line="276"/>
        <w:ind w:left="0" w:firstLine="709"/>
        <w:jc w:val="both"/>
        <w:rPr>
          <w:spacing w:val="-6"/>
          <w:lang w:eastAsia="en-US"/>
        </w:rPr>
      </w:pPr>
      <w:r>
        <w:rPr>
          <w:b/>
          <w:bCs/>
          <w:spacing w:val="-6"/>
          <w:lang w:eastAsia="en-US"/>
        </w:rPr>
        <w:t>«Акт КС-2», «Справка КС-3»</w:t>
      </w:r>
      <w:r>
        <w:rPr>
          <w:spacing w:val="-6"/>
          <w:lang w:eastAsia="en-US"/>
        </w:rPr>
        <w:t xml:space="preserve"> – документы, оформляемые по унифицированным формам                                                                                                                                                                                                                                                                                                                                                                                                                                                                                                                                                                                                                                                                                                                     </w:t>
      </w:r>
    </w:p>
    <w:p>
      <w:pPr>
        <w:pStyle w:val="ListParagraph"/>
        <w:tabs>
          <w:tab w:val="clear" w:pos="708"/>
          <w:tab w:val="left" w:pos="0" w:leader="none"/>
        </w:tabs>
        <w:spacing w:lineRule="auto" w:line="276"/>
        <w:ind w:left="0" w:firstLine="709"/>
        <w:jc w:val="both"/>
        <w:rPr>
          <w:spacing w:val="-6"/>
          <w:lang w:eastAsia="en-US"/>
        </w:rPr>
      </w:pPr>
      <w:r>
        <w:rPr>
          <w:spacing w:val="-6"/>
          <w:lang w:eastAsia="en-US"/>
        </w:rPr>
        <w:t xml:space="preserve">№№ </w:t>
      </w:r>
      <w:r>
        <w:rPr>
          <w:spacing w:val="-6"/>
          <w:lang w:eastAsia="en-US"/>
        </w:rPr>
        <w:t>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tabs>
          <w:tab w:val="clear" w:pos="708"/>
          <w:tab w:val="left" w:pos="0" w:leader="none"/>
        </w:tabs>
        <w:spacing w:lineRule="auto" w:line="276" w:before="0" w:after="0"/>
        <w:ind w:firstLine="709"/>
        <w:contextualSpacing/>
        <w:rPr>
          <w:sz w:val="24"/>
          <w:szCs w:val="24"/>
        </w:rPr>
      </w:pPr>
      <w:r>
        <w:rPr>
          <w:b/>
          <w:bCs/>
          <w:sz w:val="24"/>
          <w:szCs w:val="24"/>
          <w:lang w:eastAsia="en-US"/>
        </w:rPr>
        <w:t>«Акт ОС-3»</w:t>
      </w:r>
      <w:r>
        <w:rPr>
          <w:sz w:val="24"/>
          <w:szCs w:val="24"/>
          <w:lang w:eastAsia="en-US"/>
        </w:rPr>
        <w:t xml:space="preserve"> – документ, оформляемый по унифицированной форме № ОС-3 «А</w:t>
      </w:r>
      <w:r>
        <w:rPr>
          <w:sz w:val="24"/>
          <w:szCs w:val="24"/>
        </w:rPr>
        <w:t xml:space="preserve">кт о приеме-сдаче отремонтированных, реконструированных, модернизированных объектов основных средств», утвержденной Постановлением Госкомстата РФ от 21.01.2003 № 7. </w:t>
      </w:r>
    </w:p>
    <w:p>
      <w:pPr>
        <w:pStyle w:val="ListParagraph"/>
        <w:widowControl w:val="false"/>
        <w:shd w:val="clear" w:color="auto" w:fill="FFFFFF"/>
        <w:tabs>
          <w:tab w:val="clear" w:pos="708"/>
          <w:tab w:val="left" w:pos="0" w:leader="none"/>
        </w:tabs>
        <w:spacing w:lineRule="auto" w:line="276"/>
        <w:ind w:left="0" w:firstLine="709"/>
        <w:jc w:val="both"/>
        <w:rPr>
          <w:spacing w:val="-2"/>
          <w:lang w:eastAsia="en-US"/>
        </w:rPr>
      </w:pPr>
      <w:r>
        <w:rPr>
          <w:lang w:eastAsia="en-US"/>
        </w:rPr>
        <w:t xml:space="preserve"> </w:t>
      </w:r>
      <w:r>
        <w:rPr>
          <w:b/>
          <w:bCs/>
          <w:spacing w:val="-2"/>
          <w:lang w:eastAsia="en-US"/>
        </w:rPr>
        <w:t>«Гарантийный срок»</w:t>
      </w:r>
      <w:r>
        <w:rPr>
          <w:spacing w:val="-2"/>
        </w:rPr>
        <w:t xml:space="preserve"> </w:t>
      </w:r>
      <w:r>
        <w:rPr>
          <w:spacing w:val="-2"/>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0" w:leader="none"/>
        </w:tabs>
        <w:spacing w:lineRule="auto" w:line="276"/>
        <w:ind w:left="0" w:firstLine="709"/>
        <w:jc w:val="both"/>
        <w:rPr>
          <w:spacing w:val="-2"/>
          <w:lang w:eastAsia="en-US"/>
        </w:rPr>
      </w:pPr>
      <w:r>
        <w:rPr>
          <w:b/>
          <w:bCs/>
          <w:spacing w:val="-2"/>
          <w:lang w:eastAsia="en-US"/>
        </w:rPr>
        <w:t xml:space="preserve"> </w:t>
      </w:r>
      <w:r>
        <w:rPr>
          <w:b/>
          <w:bCs/>
          <w:spacing w:val="-2"/>
          <w:lang w:eastAsia="en-US"/>
        </w:rPr>
        <w:t>«Договор»</w:t>
      </w:r>
      <w:r>
        <w:rPr>
          <w:spacing w:val="-2"/>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bCs/>
          <w:lang w:eastAsia="en-US"/>
        </w:rPr>
        <w:t>«Исполнительн</w:t>
      </w:r>
      <w:bookmarkStart w:id="0" w:name="OCRUncertain148"/>
      <w:r>
        <w:rPr>
          <w:b/>
          <w:bCs/>
          <w:lang w:eastAsia="en-US"/>
        </w:rPr>
        <w:t>а</w:t>
      </w:r>
      <w:bookmarkEnd w:id="0"/>
      <w:r>
        <w:rPr>
          <w:b/>
          <w:bCs/>
          <w:lang w:eastAsia="en-US"/>
        </w:rPr>
        <w:t>я док</w:t>
      </w:r>
      <w:bookmarkStart w:id="1" w:name="OCRUncertain149"/>
      <w:r>
        <w:rPr>
          <w:b/>
          <w:bCs/>
          <w:lang w:eastAsia="en-US"/>
        </w:rPr>
        <w:t>у</w:t>
      </w:r>
      <w:bookmarkEnd w:id="1"/>
      <w:r>
        <w:rPr>
          <w:b/>
          <w:bCs/>
          <w:lang w:eastAsia="en-US"/>
        </w:rPr>
        <w:t>м</w:t>
      </w:r>
      <w:bookmarkStart w:id="2" w:name="OCRUncertain150"/>
      <w:r>
        <w:rPr>
          <w:b/>
          <w:bCs/>
          <w:lang w:eastAsia="en-US"/>
        </w:rPr>
        <w:t>е</w:t>
      </w:r>
      <w:bookmarkEnd w:id="2"/>
      <w:r>
        <w:rPr>
          <w:b/>
          <w:bCs/>
          <w:lang w:eastAsia="en-US"/>
        </w:rPr>
        <w:t>нтац</w:t>
      </w:r>
      <w:bookmarkStart w:id="3" w:name="OCRUncertain151"/>
      <w:r>
        <w:rPr>
          <w:b/>
          <w:bCs/>
          <w:lang w:eastAsia="en-US"/>
        </w:rPr>
        <w:t>и</w:t>
      </w:r>
      <w:bookmarkEnd w:id="3"/>
      <w:r>
        <w:rPr>
          <w:b/>
          <w:bCs/>
          <w:lang w:eastAsia="en-US"/>
        </w:rPr>
        <w:t>я»</w:t>
      </w:r>
      <w:r>
        <w:rPr>
          <w:lang w:eastAsia="en-US"/>
        </w:rPr>
        <w:t xml:space="preserve"> –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lang w:eastAsia="en-US"/>
        </w:rPr>
        <w:t>К Исполнительной документации относятся:</w:t>
      </w:r>
      <w:r>
        <w:rPr/>
        <w:t xml:space="preserve"> </w:t>
      </w:r>
      <w:r>
        <w:rPr>
          <w:lang w:eastAsia="en-US"/>
        </w:rPr>
        <w:tab/>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общий журнал работ;</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акт освидетельствования скрытых работ;</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уточненная ведомость объёма ремонтно-строительных работ;</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акт приёмки из ремонта здания, сооружения;</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jc w:val="both"/>
        <w:rPr>
          <w:lang w:eastAsia="en-US"/>
        </w:rPr>
      </w:pPr>
      <w:r>
        <w:rPr>
          <w:lang w:eastAsia="en-US"/>
        </w:rPr>
        <w:t>комиссионные акты входного контроля закупаемых Подрядчиком материалов (в произвольной форме) на соответствие продукции требованиям технической документации;</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jc w:val="both"/>
        <w:rPr>
          <w:lang w:eastAsia="en-US"/>
        </w:rPr>
      </w:pPr>
      <w:r>
        <w:rPr>
          <w:lang w:eastAsia="en-US"/>
        </w:rPr>
        <w:t>сертификаты, подтверждающие качество и соответствие требованиям конструкторской и нормативно-технической документации материалов (форма завода – изготовителя);</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jc w:val="both"/>
        <w:rPr>
          <w:lang w:eastAsia="en-US"/>
        </w:rPr>
      </w:pPr>
      <w:r>
        <w:rPr>
          <w:lang w:eastAsia="en-US"/>
        </w:rPr>
        <w:t>счет-фактуры (УПД) на материалы, закупаемые Подрядчиком для использования в процессе ремонта;</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bCs/>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highlight w:val="white"/>
          <w:lang w:eastAsia="en-US"/>
        </w:rPr>
        <w:t>«Лимит на непредвиденные работы и затраты»</w:t>
      </w:r>
      <w:r>
        <w:rPr>
          <w:highlight w:val="white"/>
          <w:lang w:eastAsia="en-US"/>
        </w:rPr>
        <w:t xml:space="preserve"> – резерв средств на работы </w:t>
        <w:br/>
        <w:t>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bCs/>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0" w:leader="none"/>
        </w:tabs>
        <w:spacing w:lineRule="auto" w:line="276"/>
        <w:ind w:left="0" w:firstLine="709"/>
        <w:jc w:val="both"/>
        <w:rPr>
          <w:color w:val="000000" w:themeColor="text1"/>
          <w:highlight w:val="white"/>
        </w:rPr>
      </w:pPr>
      <w:r>
        <w:rPr>
          <w:b/>
          <w:bCs/>
          <w:color w:val="000000" w:themeColor="text1"/>
          <w:lang w:eastAsia="en-US"/>
        </w:rPr>
        <w:t>«Объект»</w:t>
      </w:r>
      <w:r>
        <w:rPr>
          <w:color w:val="000000" w:themeColor="text1"/>
          <w:lang w:eastAsia="en-US"/>
        </w:rPr>
        <w:t xml:space="preserve"> – территория участков, указанных в п.1.4 Договора</w:t>
      </w:r>
      <w:r>
        <w:rPr>
          <w:highlight w:val="white"/>
        </w:rPr>
        <w:t xml:space="preserve">,  </w:t>
      </w:r>
      <w:r>
        <w:rPr/>
        <w:t>в отношении которых целесообразна самостоятельная приемка.</w:t>
      </w:r>
    </w:p>
    <w:p>
      <w:pPr>
        <w:pStyle w:val="ListParagraph"/>
        <w:widowControl w:val="false"/>
        <w:shd w:val="clear" w:color="auto" w:fill="FFFFFF"/>
        <w:tabs>
          <w:tab w:val="clear" w:pos="708"/>
          <w:tab w:val="left" w:pos="0" w:leader="none"/>
        </w:tabs>
        <w:spacing w:lineRule="auto" w:line="276"/>
        <w:ind w:left="0" w:firstLine="709"/>
        <w:jc w:val="both"/>
        <w:rPr>
          <w:spacing w:val="-10"/>
          <w:lang w:eastAsia="en-US"/>
        </w:rPr>
      </w:pPr>
      <w:r>
        <w:rPr>
          <w:b/>
          <w:bCs/>
          <w:spacing w:val="-10"/>
          <w:lang w:eastAsia="en-US"/>
        </w:rPr>
        <w:t xml:space="preserve">«Отказ от Договора» </w:t>
      </w:r>
      <w:r>
        <w:rPr>
          <w:spacing w:val="-10"/>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Объекты.</w:t>
      </w:r>
    </w:p>
    <w:p>
      <w:pPr>
        <w:pStyle w:val="Normal"/>
        <w:keepLines/>
        <w:spacing w:lineRule="auto" w:line="276" w:before="0" w:after="0"/>
        <w:ind w:firstLine="709"/>
        <w:contextualSpacing/>
        <w:rPr>
          <w:lang w:eastAsia="en-US"/>
        </w:rPr>
      </w:pPr>
      <w:r>
        <w:rPr>
          <w:b/>
          <w:sz w:val="24"/>
          <w:szCs w:val="24"/>
          <w:lang w:eastAsia="en-US"/>
        </w:rPr>
        <w:t>«ППР»</w:t>
      </w:r>
      <w:r>
        <w:rPr>
          <w:sz w:val="24"/>
          <w:szCs w:val="24"/>
          <w:lang w:eastAsia="en-US"/>
        </w:rPr>
        <w:t xml:space="preserve"> – проект производства работ. </w:t>
      </w:r>
    </w:p>
    <w:p>
      <w:pPr>
        <w:pStyle w:val="Normal"/>
        <w:widowControl w:val="false"/>
        <w:numPr>
          <w:ilvl w:val="0"/>
          <w:numId w:val="0"/>
        </w:numPr>
        <w:tabs>
          <w:tab w:val="clear" w:pos="708"/>
          <w:tab w:val="left" w:pos="567" w:leader="none"/>
        </w:tabs>
        <w:spacing w:lineRule="auto" w:line="276"/>
        <w:ind w:left="0" w:firstLine="709"/>
        <w:outlineLvl w:val="2"/>
        <w:rPr>
          <w:b/>
          <w:sz w:val="24"/>
          <w:szCs w:val="24"/>
          <w:highlight w:val="white"/>
        </w:rPr>
      </w:pPr>
      <w:r>
        <w:rPr>
          <w:b/>
          <w:sz w:val="24"/>
          <w:szCs w:val="24"/>
          <w:highlight w:val="white"/>
          <w:lang w:eastAsia="en-US"/>
        </w:rPr>
        <w:t>«Работы»</w:t>
      </w:r>
      <w:r>
        <w:rPr>
          <w:sz w:val="24"/>
          <w:szCs w:val="24"/>
          <w:highlight w:val="white"/>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инструмента), Давальческих материалов и запасных частей Заказчика 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b/>
          <w:sz w:val="24"/>
          <w:szCs w:val="24"/>
          <w:highlight w:val="white"/>
        </w:rPr>
        <w:t xml:space="preserve"> </w:t>
      </w:r>
      <w:r>
        <w:rPr>
          <w:sz w:val="24"/>
          <w:szCs w:val="24"/>
          <w:highlight w:val="white"/>
        </w:rPr>
        <w:t>выявленных</w:t>
      </w:r>
      <w:r>
        <w:rPr>
          <w:b/>
          <w:sz w:val="24"/>
          <w:szCs w:val="24"/>
          <w:highlight w:val="white"/>
        </w:rPr>
        <w:t xml:space="preserve"> </w:t>
      </w:r>
      <w:r>
        <w:rPr>
          <w:sz w:val="24"/>
          <w:szCs w:val="24"/>
          <w:highlight w:val="white"/>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b/>
          <w:sz w:val="24"/>
          <w:szCs w:val="24"/>
          <w:highlight w:val="white"/>
        </w:rPr>
        <w:t xml:space="preserve"> </w:t>
      </w:r>
    </w:p>
    <w:p>
      <w:pPr>
        <w:pStyle w:val="Normal"/>
        <w:widowControl w:val="false"/>
        <w:tabs>
          <w:tab w:val="clear" w:pos="708"/>
          <w:tab w:val="left" w:pos="567" w:leader="none"/>
        </w:tabs>
        <w:spacing w:lineRule="auto" w:line="276"/>
        <w:ind w:firstLine="708"/>
        <w:rPr>
          <w:sz w:val="24"/>
          <w:szCs w:val="24"/>
        </w:rPr>
      </w:pPr>
      <w:r>
        <w:rPr>
          <w:sz w:val="24"/>
          <w:szCs w:val="24"/>
          <w:highlight w:val="white"/>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0" w:leader="none"/>
        </w:tabs>
        <w:spacing w:lineRule="auto" w:line="276" w:before="0" w:after="0"/>
        <w:ind w:firstLine="709"/>
        <w:contextualSpacing/>
        <w:rPr>
          <w:lang w:eastAsia="en-US"/>
        </w:rPr>
      </w:pPr>
      <w:r>
        <w:rPr>
          <w:b/>
          <w:sz w:val="24"/>
          <w:szCs w:val="24"/>
          <w:lang w:eastAsia="en-US"/>
        </w:rPr>
        <w:t>«Рабочий день</w:t>
      </w:r>
      <w:r>
        <w:rPr>
          <w:sz w:val="24"/>
          <w:szCs w:val="24"/>
          <w:lang w:eastAsia="en-US"/>
        </w:rPr>
        <w:t>» – день, который в соответствии с Применимым правом, является рабочим днем в Российской Федерации.</w:t>
      </w:r>
    </w:p>
    <w:p>
      <w:pPr>
        <w:pStyle w:val="Normal"/>
        <w:widowControl w:val="false"/>
        <w:tabs>
          <w:tab w:val="clear" w:pos="708"/>
          <w:tab w:val="left" w:pos="567" w:leader="none"/>
        </w:tabs>
        <w:spacing w:lineRule="auto" w:line="276"/>
        <w:ind w:firstLine="708"/>
        <w:rPr>
          <w:sz w:val="24"/>
          <w:szCs w:val="24"/>
          <w:highlight w:val="white"/>
        </w:rPr>
      </w:pPr>
      <w:r>
        <w:rPr>
          <w:b/>
          <w:sz w:val="24"/>
          <w:szCs w:val="24"/>
          <w:highlight w:val="white"/>
        </w:rPr>
        <w:t xml:space="preserve">«Результат работ» </w:t>
      </w:r>
      <w:r>
        <w:rPr>
          <w:sz w:val="24"/>
          <w:szCs w:val="24"/>
          <w:highlight w:val="white"/>
        </w:rPr>
        <w:t xml:space="preserve">– отремонтированный </w:t>
      </w:r>
      <w:r>
        <w:rPr>
          <w:sz w:val="24"/>
          <w:szCs w:val="24"/>
          <w:lang w:eastAsia="en-US"/>
        </w:rPr>
        <w:t>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Normal"/>
        <w:spacing w:lineRule="auto" w:line="276"/>
        <w:ind w:firstLine="709"/>
        <w:rPr>
          <w:sz w:val="24"/>
          <w:szCs w:val="24"/>
          <w:lang w:eastAsia="en-US"/>
        </w:rPr>
      </w:pPr>
      <w:r>
        <w:rPr>
          <w:b/>
          <w:sz w:val="24"/>
          <w:szCs w:val="24"/>
          <w:highlight w:val="white"/>
          <w:lang w:eastAsia="en-US"/>
        </w:rPr>
        <w:t>«СМП»</w:t>
      </w:r>
      <w:r>
        <w:rPr>
          <w:sz w:val="24"/>
          <w:szCs w:val="24"/>
          <w:highlight w:val="white"/>
          <w:lang w:eastAsia="en-US"/>
        </w:rPr>
        <w:t xml:space="preserve"> – субъект малого и среднего предпринимательства.</w:t>
      </w:r>
    </w:p>
    <w:p>
      <w:pPr>
        <w:pStyle w:val="Normal"/>
        <w:widowControl w:val="false"/>
        <w:numPr>
          <w:ilvl w:val="0"/>
          <w:numId w:val="0"/>
        </w:numPr>
        <w:tabs>
          <w:tab w:val="clear" w:pos="708"/>
          <w:tab w:val="left" w:pos="567" w:leader="none"/>
        </w:tabs>
        <w:spacing w:lineRule="auto" w:line="276"/>
        <w:ind w:left="0" w:firstLine="709"/>
        <w:outlineLvl w:val="2"/>
        <w:rPr>
          <w:sz w:val="24"/>
          <w:szCs w:val="24"/>
          <w:highlight w:val="white"/>
        </w:rPr>
      </w:pPr>
      <w:r>
        <w:rPr>
          <w:b/>
          <w:sz w:val="24"/>
          <w:szCs w:val="24"/>
          <w:highlight w:val="white"/>
          <w:lang w:eastAsia="en-US"/>
        </w:rPr>
        <w:t>«Скрытые работы»</w:t>
      </w:r>
      <w:r>
        <w:rPr>
          <w:sz w:val="24"/>
          <w:szCs w:val="24"/>
          <w:highlight w:val="white"/>
          <w:lang w:eastAsia="en-US"/>
        </w:rPr>
        <w:t xml:space="preserve"> – отдельные виды работ, оказывающие влияние на безопасность объекта реконструкции, которые недоступны для визуальной оценки при сдаче Подрядчиком Результата Работ Заказчику, поскольку в соответствии с технологией контроль их качества и точность невозможно определить после выполнения последующих Работ. </w:t>
      </w:r>
    </w:p>
    <w:p>
      <w:pPr>
        <w:pStyle w:val="Normal"/>
        <w:widowControl w:val="false"/>
        <w:numPr>
          <w:ilvl w:val="0"/>
          <w:numId w:val="0"/>
        </w:numPr>
        <w:tabs>
          <w:tab w:val="clear" w:pos="708"/>
          <w:tab w:val="left" w:pos="567" w:leader="none"/>
        </w:tabs>
        <w:spacing w:lineRule="auto" w:line="276"/>
        <w:ind w:left="0" w:firstLine="708"/>
        <w:outlineLvl w:val="2"/>
        <w:rPr>
          <w:sz w:val="24"/>
          <w:szCs w:val="24"/>
          <w:highlight w:val="white"/>
        </w:rPr>
      </w:pPr>
      <w:r>
        <w:rPr>
          <w:sz w:val="24"/>
          <w:szCs w:val="24"/>
          <w:highlight w:val="white"/>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widowControl w:val="false"/>
        <w:numPr>
          <w:ilvl w:val="0"/>
          <w:numId w:val="0"/>
        </w:numPr>
        <w:tabs>
          <w:tab w:val="clear" w:pos="708"/>
          <w:tab w:val="left" w:pos="567" w:leader="none"/>
        </w:tabs>
        <w:spacing w:lineRule="auto" w:line="276"/>
        <w:ind w:left="0" w:firstLine="567"/>
        <w:outlineLvl w:val="2"/>
        <w:rPr>
          <w:sz w:val="24"/>
          <w:szCs w:val="24"/>
          <w:lang w:eastAsia="en-US"/>
        </w:rPr>
      </w:pPr>
      <w:r>
        <w:rPr>
          <w:b/>
          <w:sz w:val="24"/>
          <w:highlight w:val="white"/>
          <w:lang w:eastAsia="en-US"/>
        </w:rPr>
        <w:t xml:space="preserve"> </w:t>
      </w:r>
      <w:r>
        <w:rPr>
          <w:b/>
          <w:sz w:val="24"/>
          <w:highlight w:val="white"/>
          <w:lang w:eastAsia="en-US"/>
        </w:rPr>
        <w:t>«Субподрядчик»</w:t>
      </w:r>
      <w:r>
        <w:rPr>
          <w:sz w:val="24"/>
          <w:highlight w:val="white"/>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«Техническое задание»</w:t>
      </w:r>
      <w:r>
        <w:rPr>
          <w:b w:val="false"/>
          <w:sz w:val="24"/>
          <w:szCs w:val="24"/>
          <w:lang w:eastAsia="en-US"/>
        </w:rPr>
        <w:t xml:space="preserve"> – документ, содержащий условия выполнения работ, требования к качеству, безопасности и результатов выполняемых работ, объем и состав Работ по Договору, ведомость объемов работ, ведомость материалов.</w:t>
      </w:r>
    </w:p>
    <w:p>
      <w:pPr>
        <w:pStyle w:val="Normal"/>
        <w:tabs>
          <w:tab w:val="clear" w:pos="708"/>
          <w:tab w:val="left" w:pos="567" w:leader="none"/>
          <w:tab w:val="left" w:pos="851" w:leader="none"/>
          <w:tab w:val="left" w:pos="1134" w:leader="none"/>
        </w:tabs>
        <w:spacing w:lineRule="auto" w:line="276"/>
        <w:ind w:firstLine="709"/>
        <w:jc w:val="both"/>
        <w:rPr/>
      </w:pPr>
      <w:r>
        <w:rPr>
          <w:b/>
          <w:bCs/>
          <w:highlight w:val="white"/>
          <w:shd w:fill="FFFFFF" w:val="clear"/>
        </w:rPr>
        <w:t>«</w:t>
      </w:r>
      <w:r>
        <w:rPr>
          <w:b/>
          <w:bCs/>
          <w:sz w:val="24"/>
          <w:szCs w:val="24"/>
          <w:highlight w:val="white"/>
          <w:shd w:fill="FFFFFF" w:val="clear"/>
        </w:rPr>
        <w:t>Универсальный передаточный документ (УПД)»</w:t>
      </w:r>
      <w:r>
        <w:rPr>
          <w:sz w:val="24"/>
          <w:szCs w:val="24"/>
          <w:highlight w:val="white"/>
          <w:shd w:fill="FFFFFF" w:val="clear"/>
        </w:rPr>
        <w:t xml:space="preserve"> – </w:t>
      </w:r>
      <w:r>
        <w:rPr>
          <w:rFonts w:eastAsia="Times New Roman" w:cs="Times New Roman"/>
          <w:sz w:val="24"/>
          <w:szCs w:val="24"/>
          <w:highlight w:val="white"/>
          <w:shd w:fill="FFFFFF" w:val="clear"/>
          <w:lang w:eastAsia="ru-RU"/>
        </w:rPr>
        <w:t xml:space="preserve">форма документа, рекомендованная для применения письмом ФНС России от 21.10.2013 </w:t>
        <w:br/>
        <w:t>№ ММВ-20-3/96@ (</w:t>
      </w:r>
      <w:r>
        <w:rPr>
          <w:rFonts w:cs="Times New Roman"/>
          <w:sz w:val="24"/>
          <w:szCs w:val="24"/>
          <w:highlight w:val="white"/>
          <w:shd w:fill="FFFFFF" w:val="clear"/>
        </w:rPr>
        <w:t xml:space="preserve">объединяет реквизиты </w:t>
      </w:r>
      <w:hyperlink r:id="rId2" w:tgtFrame="https://login.consultant.ru/link/?req=doc&amp;base=PBI&amp;n=199978">
        <w:r>
          <w:rPr>
            <w:rStyle w:val="Hyperlink"/>
            <w:rFonts w:cs="Times New Roman"/>
            <w:color w:val="000000"/>
            <w:sz w:val="24"/>
            <w:szCs w:val="24"/>
            <w:highlight w:val="white"/>
            <w:u w:val="none"/>
            <w:shd w:fill="FFFFFF" w:val="clear"/>
          </w:rPr>
          <w:t>счета-фактуры</w:t>
        </w:r>
      </w:hyperlink>
      <w:r>
        <w:rPr>
          <w:rFonts w:cs="Times New Roman"/>
          <w:color w:val="000000"/>
          <w:sz w:val="24"/>
          <w:szCs w:val="24"/>
          <w:highlight w:val="white"/>
          <w:shd w:fill="FFFFFF" w:val="clear"/>
        </w:rPr>
        <w:t xml:space="preserve"> и </w:t>
      </w:r>
      <w:hyperlink r:id="rId3" w:tgtFrame="https://login.consultant.ru/link/?req=doc&amp;base=PBI&amp;n=37584&amp;dst=100032">
        <w:r>
          <w:rPr>
            <w:rStyle w:val="Hyperlink"/>
            <w:rFonts w:cs="Times New Roman"/>
            <w:color w:val="000000"/>
            <w:sz w:val="24"/>
            <w:szCs w:val="24"/>
            <w:highlight w:val="white"/>
            <w:u w:val="none"/>
            <w:shd w:fill="FFFFFF" w:val="clear"/>
          </w:rPr>
          <w:t>первичного документа</w:t>
        </w:r>
      </w:hyperlink>
      <w:r>
        <w:rPr>
          <w:rFonts w:cs="Times New Roman"/>
          <w:sz w:val="24"/>
          <w:szCs w:val="24"/>
          <w:highlight w:val="white"/>
          <w:shd w:fill="FFFFFF" w:val="clear"/>
        </w:rPr>
        <w:t xml:space="preserve"> о передаче товаров, работ, услуг)</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«Цена Договора предельная»</w:t>
      </w:r>
      <w:r>
        <w:rPr>
          <w:b w:val="false"/>
          <w:sz w:val="24"/>
          <w:szCs w:val="24"/>
          <w:lang w:eastAsia="en-US"/>
        </w:rPr>
        <w:t xml:space="preserve">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b w:val="false"/>
          <w:sz w:val="24"/>
          <w:szCs w:val="24"/>
        </w:rPr>
        <w:t xml:space="preserve"> </w:t>
      </w:r>
      <w:r>
        <w:rPr>
          <w:b w:val="false"/>
          <w:sz w:val="24"/>
          <w:szCs w:val="24"/>
          <w:lang w:eastAsia="en-US"/>
        </w:rPr>
        <w:t xml:space="preserve">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 </w:t>
      </w:r>
    </w:p>
    <w:p>
      <w:pPr>
        <w:pStyle w:val="Heading3"/>
        <w:keepNext w:val="false"/>
        <w:widowControl w:val="false"/>
        <w:tabs>
          <w:tab w:val="clear" w:pos="708"/>
          <w:tab w:val="left" w:pos="0" w:leader="none"/>
        </w:tabs>
        <w:spacing w:before="0" w:after="0"/>
        <w:ind w:firstLine="709"/>
        <w:contextualSpacing/>
        <w:jc w:val="both"/>
        <w:rPr>
          <w:b w:val="false"/>
          <w:sz w:val="24"/>
          <w:szCs w:val="24"/>
          <w:lang w:eastAsia="en-US"/>
        </w:rPr>
      </w:pPr>
      <w:r>
        <w:rPr>
          <w:b w:val="false"/>
          <w:sz w:val="24"/>
          <w:szCs w:val="24"/>
          <w:lang w:eastAsia="en-US"/>
        </w:rPr>
      </w:r>
    </w:p>
    <w:p>
      <w:pPr>
        <w:pStyle w:val="Normal"/>
        <w:tabs>
          <w:tab w:val="clear" w:pos="708"/>
          <w:tab w:val="left" w:pos="0" w:leader="none"/>
        </w:tabs>
        <w:ind w:firstLine="709"/>
        <w:rPr>
          <w:sz w:val="10"/>
          <w:szCs w:val="10"/>
        </w:rPr>
      </w:pPr>
      <w:r>
        <w:rPr>
          <w:sz w:val="10"/>
          <w:szCs w:val="10"/>
        </w:rPr>
      </w:r>
    </w:p>
    <w:p>
      <w:pPr>
        <w:pStyle w:val="ListParagraph"/>
        <w:numPr>
          <w:ilvl w:val="0"/>
          <w:numId w:val="3"/>
        </w:numPr>
        <w:shd w:val="clear" w:color="auto" w:fill="FFFFFF"/>
        <w:tabs>
          <w:tab w:val="clear" w:pos="708"/>
          <w:tab w:val="left" w:pos="0" w:leader="none"/>
        </w:tabs>
        <w:spacing w:lineRule="auto" w:line="276"/>
        <w:ind w:left="0" w:hanging="0"/>
        <w:jc w:val="center"/>
        <w:rPr>
          <w:b/>
          <w:bCs/>
        </w:rPr>
      </w:pPr>
      <w:r>
        <w:rPr>
          <w:b/>
          <w:bCs/>
        </w:rPr>
        <w:t>Предмет Договора</w:t>
      </w:r>
      <w:bookmarkStart w:id="4" w:name="_Ref361410951"/>
      <w:bookmarkEnd w:id="4"/>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 xml:space="preserve">1.1. Подрядчик обязуется по заданию Заказчика в соответствии с Техническим заданием (Приложение № 1 к Договору) </w:t>
      </w:r>
      <w:r>
        <w:rPr>
          <w:bCs/>
          <w:sz w:val="24"/>
          <w:szCs w:val="24"/>
        </w:rPr>
        <w:t>выполнить работы по</w:t>
      </w:r>
      <w:r>
        <w:rPr>
          <w:sz w:val="24"/>
          <w:szCs w:val="24"/>
        </w:rPr>
        <w:t xml:space="preserve"> восстановлению благоустройства территории после выполнения работ по текущему ремонту участка теплотрассы </w:t>
      </w:r>
      <w:r>
        <w:rPr>
          <w:bCs/>
          <w:sz w:val="24"/>
          <w:szCs w:val="24"/>
        </w:rPr>
        <w:t>(далее по тексту – «Работы»)</w:t>
      </w:r>
      <w:r>
        <w:rPr>
          <w:sz w:val="24"/>
          <w:szCs w:val="24"/>
        </w:rPr>
        <w:t xml:space="preserve"> и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 xml:space="preserve">1.2. </w:t>
      </w:r>
      <w:r>
        <w:rPr>
          <w:bCs/>
          <w:sz w:val="24"/>
          <w:szCs w:val="24"/>
        </w:rPr>
        <w:t>Объем и состав Работ по Договору определяется</w:t>
      </w:r>
      <w:r>
        <w:rPr/>
        <w:t xml:space="preserve"> </w:t>
      </w:r>
      <w:r>
        <w:rPr>
          <w:bCs/>
          <w:sz w:val="24"/>
          <w:szCs w:val="24"/>
        </w:rPr>
        <w:t>в соответствии с Ведомостью объемов раб</w:t>
      </w:r>
      <w:r>
        <w:rPr>
          <w:bCs/>
          <w:sz w:val="24"/>
          <w:szCs w:val="24"/>
          <w:highlight w:val="white"/>
        </w:rPr>
        <w:t>от (Приложение №1.1) к Т</w:t>
      </w:r>
      <w:r>
        <w:rPr>
          <w:bCs/>
          <w:sz w:val="24"/>
          <w:szCs w:val="24"/>
        </w:rPr>
        <w:t>ехническому заданию (Приложение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 xml:space="preserve">1.3. </w:t>
      </w:r>
      <w:r>
        <w:rPr>
          <w:bCs/>
          <w:sz w:val="24"/>
          <w:szCs w:val="24"/>
        </w:rPr>
        <w:t>Работы по Договору выполняются для нужд структурного подразделения Заказчика «Николаевская ТЭЦ».</w:t>
      </w:r>
    </w:p>
    <w:p>
      <w:pPr>
        <w:pStyle w:val="Normal"/>
        <w:keepLines/>
        <w:shd w:val="clear" w:color="auto" w:fill="FFFFFF"/>
        <w:tabs>
          <w:tab w:val="clear" w:pos="708"/>
          <w:tab w:val="left" w:pos="0" w:leader="none"/>
          <w:tab w:val="left" w:pos="1134" w:leader="none"/>
        </w:tabs>
        <w:spacing w:lineRule="auto" w:line="276" w:before="0" w:after="0"/>
        <w:ind w:firstLine="709"/>
        <w:contextualSpacing/>
        <w:rPr>
          <w:sz w:val="24"/>
          <w:szCs w:val="24"/>
        </w:rPr>
      </w:pPr>
      <w:r>
        <w:rPr>
          <w:sz w:val="24"/>
          <w:szCs w:val="24"/>
        </w:rPr>
        <w:t>1.4. Ме</w:t>
      </w:r>
      <w:r>
        <w:rPr>
          <w:bCs/>
          <w:sz w:val="24"/>
          <w:szCs w:val="24"/>
        </w:rPr>
        <w:t>сто выполнения Работ</w:t>
      </w:r>
      <w:r>
        <w:rPr>
          <w:sz w:val="24"/>
          <w:szCs w:val="24"/>
        </w:rPr>
        <w:t xml:space="preserve">: </w:t>
      </w:r>
      <w:r>
        <w:rPr>
          <w:bCs/>
          <w:sz w:val="24"/>
          <w:szCs w:val="24"/>
        </w:rPr>
        <w:t xml:space="preserve">г. Николаевск-на-Амуре, </w:t>
      </w:r>
      <w:r>
        <w:rPr>
          <w:bCs/>
          <w:sz w:val="24"/>
          <w:szCs w:val="24"/>
        </w:rPr>
        <w:t xml:space="preserve">территория над </w:t>
      </w:r>
      <w:r>
        <w:rPr>
          <w:bCs/>
          <w:sz w:val="24"/>
          <w:szCs w:val="24"/>
        </w:rPr>
        <w:t>участ</w:t>
      </w:r>
      <w:r>
        <w:rPr>
          <w:bCs/>
          <w:sz w:val="24"/>
          <w:szCs w:val="24"/>
        </w:rPr>
        <w:t>ком</w:t>
      </w:r>
      <w:r>
        <w:rPr>
          <w:bCs/>
          <w:sz w:val="24"/>
          <w:szCs w:val="24"/>
        </w:rPr>
        <w:t xml:space="preserve"> </w:t>
      </w:r>
      <w:r>
        <w:rPr>
          <w:bCs/>
          <w:color w:val="000000" w:themeColor="text1"/>
          <w:sz w:val="24"/>
          <w:szCs w:val="24"/>
          <w:highlight w:val="white"/>
        </w:rPr>
        <w:t>теплотрассы от</w:t>
      </w:r>
      <w:r>
        <w:rPr>
          <w:bCs/>
          <w:sz w:val="24"/>
          <w:szCs w:val="24"/>
          <w:highlight w:val="white"/>
        </w:rPr>
        <w:t xml:space="preserve"> </w:t>
      </w:r>
      <w:r>
        <w:rPr>
          <w:bCs/>
          <w:color w:val="000000"/>
          <w:sz w:val="24"/>
          <w:szCs w:val="24"/>
          <w:highlight w:val="white"/>
          <w:shd w:fill="FFFFFF" w:val="clear"/>
        </w:rPr>
        <w:t>МТК-27-Луначарского 138 до ул.Орлова 9б</w:t>
      </w:r>
      <w:r>
        <w:rPr>
          <w:bCs/>
          <w:sz w:val="24"/>
          <w:szCs w:val="24"/>
          <w:highlight w:val="white"/>
        </w:rPr>
        <w:t xml:space="preserve">; </w:t>
      </w:r>
      <w:r>
        <w:rPr>
          <w:bCs/>
          <w:sz w:val="24"/>
          <w:szCs w:val="24"/>
          <w:highlight w:val="white"/>
        </w:rPr>
        <w:t xml:space="preserve">территория над </w:t>
      </w:r>
      <w:r>
        <w:rPr>
          <w:bCs/>
          <w:sz w:val="24"/>
          <w:szCs w:val="24"/>
          <w:highlight w:val="white"/>
        </w:rPr>
        <w:t>участ</w:t>
      </w:r>
      <w:r>
        <w:rPr>
          <w:bCs/>
          <w:sz w:val="24"/>
          <w:szCs w:val="24"/>
          <w:highlight w:val="white"/>
        </w:rPr>
        <w:t>ком</w:t>
      </w:r>
      <w:r>
        <w:rPr>
          <w:bCs/>
          <w:sz w:val="24"/>
          <w:szCs w:val="24"/>
          <w:highlight w:val="white"/>
        </w:rPr>
        <w:t xml:space="preserve"> </w:t>
      </w:r>
      <w:r>
        <w:rPr>
          <w:bCs/>
          <w:sz w:val="24"/>
          <w:szCs w:val="24"/>
        </w:rPr>
        <w:t>теплотрассы  от МТК-2а  до  дом. по ул. Ленина, 3 (МТС-банк).</w:t>
      </w:r>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 xml:space="preserve">1.5. </w:t>
      </w:r>
      <w:r>
        <w:rPr>
          <w:sz w:val="24"/>
          <w:szCs w:val="24"/>
        </w:rPr>
        <w:t>Срок выполнения работ: в течение 1 (одного) месяца с даты заключения Договора.</w:t>
      </w:r>
    </w:p>
    <w:p>
      <w:pPr>
        <w:pStyle w:val="Normal"/>
        <w:shd w:val="clear" w:color="auto" w:fill="FFFFFF"/>
        <w:tabs>
          <w:tab w:val="clear" w:pos="708"/>
          <w:tab w:val="left" w:pos="0" w:leader="none"/>
        </w:tabs>
        <w:spacing w:lineRule="auto" w:line="276" w:before="0" w:after="0"/>
        <w:ind w:firstLine="709"/>
        <w:contextualSpacing/>
        <w:rPr>
          <w:sz w:val="24"/>
          <w:szCs w:val="24"/>
        </w:rPr>
      </w:pPr>
      <w:r>
        <w:rPr/>
      </w:r>
    </w:p>
    <w:p>
      <w:pPr>
        <w:pStyle w:val="Normal"/>
        <w:shd w:val="clear" w:color="auto" w:fill="FFFFFF"/>
        <w:tabs>
          <w:tab w:val="clear" w:pos="708"/>
          <w:tab w:val="left" w:pos="0" w:leader="none"/>
        </w:tabs>
        <w:spacing w:lineRule="auto" w:line="276" w:before="0" w:after="0"/>
        <w:ind w:firstLine="709"/>
        <w:contextualSpacing/>
        <w:rPr>
          <w:sz w:val="24"/>
          <w:szCs w:val="24"/>
        </w:rPr>
      </w:pPr>
      <w:r>
        <w:rPr/>
      </w:r>
    </w:p>
    <w:p>
      <w:pPr>
        <w:pStyle w:val="Normal"/>
        <w:shd w:val="clear" w:color="auto" w:fill="FFFFFF"/>
        <w:tabs>
          <w:tab w:val="clear" w:pos="708"/>
          <w:tab w:val="left" w:pos="0" w:leader="none"/>
        </w:tabs>
        <w:spacing w:lineRule="auto" w:line="276" w:before="0" w:after="0"/>
        <w:ind w:firstLine="709"/>
        <w:contextualSpacing/>
        <w:rPr>
          <w:spacing w:val="-6"/>
          <w:sz w:val="10"/>
          <w:szCs w:val="10"/>
        </w:rPr>
      </w:pPr>
      <w:r>
        <w:rPr>
          <w:spacing w:val="-6"/>
          <w:sz w:val="10"/>
          <w:szCs w:val="10"/>
        </w:rPr>
      </w:r>
    </w:p>
    <w:p>
      <w:pPr>
        <w:pStyle w:val="ListParagraph"/>
        <w:numPr>
          <w:ilvl w:val="0"/>
          <w:numId w:val="5"/>
        </w:numPr>
        <w:shd w:val="clear" w:color="auto" w:fill="FFFFFF"/>
        <w:tabs>
          <w:tab w:val="clear" w:pos="708"/>
          <w:tab w:val="left" w:pos="0" w:leader="none"/>
        </w:tabs>
        <w:spacing w:lineRule="auto" w:line="276"/>
        <w:ind w:left="0" w:firstLine="709"/>
        <w:jc w:val="center"/>
        <w:rPr>
          <w:b/>
          <w:bCs/>
        </w:rPr>
      </w:pPr>
      <w:r>
        <w:rPr>
          <w:b/>
          <w:bCs/>
        </w:rPr>
        <w:t>Права и обязанности Сторон</w:t>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Заказчик обязан</w:t>
      </w:r>
      <w:r>
        <w:rPr>
          <w:b/>
          <w:bCs/>
        </w:rPr>
        <w:t>:</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 xml:space="preserve"> </w:t>
      </w:r>
      <w:r>
        <w:rPr>
          <w:bCs/>
        </w:rPr>
        <w:t>В течении 3 (трех) рабочих дней с даты вступления Договора в силу, но не ранее получения соответствующего письменного запроса Подрядчика передать место/помещение для складирования Материально-технических ресурсов по соответствующему акту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Принять и оплатить выполненные Подрядчиком Работы на условиях, по цене и в сроки, предусмотренные Договором.</w:t>
      </w:r>
    </w:p>
    <w:p>
      <w:pPr>
        <w:pStyle w:val="ListParagraph"/>
        <w:numPr>
          <w:ilvl w:val="2"/>
          <w:numId w:val="5"/>
        </w:numPr>
        <w:tabs>
          <w:tab w:val="clear" w:pos="708"/>
          <w:tab w:val="left" w:pos="0" w:leader="none"/>
        </w:tabs>
        <w:spacing w:lineRule="auto" w:line="276"/>
        <w:ind w:left="0" w:firstLine="709"/>
        <w:jc w:val="both"/>
        <w:rPr/>
      </w:pPr>
      <w:r>
        <w:rPr/>
        <w:t>Производить освидетельствование (приемку) Скрытых работ по Акту освидетельствования скрытых работ, по письменному запросу Подрядчика.</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Выполнять иные обязанности, предусмотренные Договором.</w:t>
      </w:r>
    </w:p>
    <w:p>
      <w:pPr>
        <w:pStyle w:val="Normal"/>
        <w:shd w:val="clear" w:color="auto" w:fill="FFFFFF"/>
        <w:tabs>
          <w:tab w:val="clear" w:pos="708"/>
          <w:tab w:val="left" w:pos="0" w:leader="none"/>
        </w:tabs>
        <w:spacing w:lineRule="auto" w:line="276"/>
        <w:ind w:hanging="0"/>
        <w:jc w:val="left"/>
        <w:rPr>
          <w:b/>
          <w:bCs/>
          <w:sz w:val="6"/>
          <w:szCs w:val="6"/>
        </w:rPr>
      </w:pPr>
      <w:r>
        <w:rPr>
          <w:b/>
          <w:bCs/>
          <w:sz w:val="6"/>
          <w:szCs w:val="6"/>
        </w:rPr>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Заказчик имеет право</w:t>
      </w:r>
      <w:r>
        <w:rPr>
          <w:b/>
          <w:bCs/>
        </w:rPr>
        <w:t>:</w:t>
      </w:r>
    </w:p>
    <w:p>
      <w:pPr>
        <w:pStyle w:val="ListParagraph"/>
        <w:numPr>
          <w:ilvl w:val="2"/>
          <w:numId w:val="5"/>
        </w:numPr>
        <w:shd w:val="clear" w:color="auto" w:fill="FFFFFF"/>
        <w:tabs>
          <w:tab w:val="clear" w:pos="708"/>
          <w:tab w:val="left" w:pos="0" w:leader="none"/>
        </w:tabs>
        <w:spacing w:lineRule="auto" w:line="276"/>
        <w:ind w:left="0" w:firstLine="709"/>
        <w:jc w:val="both"/>
        <w:rPr/>
      </w:pPr>
      <w:r>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ремонтных Работ, за соблюдением сроков и качества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Круглосуточно осуществлять доступ к месту производства Работ, к месту/помещению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5"/>
        </w:numPr>
        <w:shd w:val="clear" w:color="auto" w:fill="FFFFFF"/>
        <w:tabs>
          <w:tab w:val="clear" w:pos="708"/>
          <w:tab w:val="left" w:pos="0" w:leader="none"/>
        </w:tabs>
        <w:spacing w:lineRule="auto" w:line="276"/>
        <w:ind w:left="0" w:firstLine="709"/>
        <w:jc w:val="both"/>
        <w:rPr/>
      </w:pPr>
      <w:bookmarkStart w:id="5" w:name="_Ref361334652"/>
      <w: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t xml:space="preserve"> </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 xml:space="preserve">2.2.4.  </w:t>
      </w:r>
      <w:bookmarkStart w:id="6" w:name="_Ref361334468"/>
      <w:r>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r>
        <w:rPr/>
        <w:t xml:space="preserve"> </w:t>
      </w:r>
    </w:p>
    <w:p>
      <w:pPr>
        <w:pStyle w:val="42Table-NormalRSHBTable-Normal3"/>
        <w:shd w:val="clear" w:color="auto" w:fill="FFFFFF"/>
        <w:tabs>
          <w:tab w:val="clear" w:pos="708"/>
          <w:tab w:val="left" w:pos="709" w:leader="none"/>
        </w:tabs>
        <w:spacing w:lineRule="auto" w:line="276" w:before="0" w:after="0"/>
        <w:ind w:left="0" w:firstLine="567"/>
        <w:contextualSpacing/>
        <w:jc w:val="both"/>
        <w:rPr/>
      </w:pPr>
      <w:r>
        <w:rPr/>
        <w:tab/>
        <w:t xml:space="preserve">2.2.5. </w:t>
      </w:r>
      <w:r>
        <w:rPr>
          <w:bCs/>
        </w:rPr>
        <w:t>Вносить изменения в Техническое задание</w:t>
      </w:r>
      <w:r>
        <w:rPr/>
        <w:t xml:space="preserve"> и объем работ (увеличить и/или уменьшить) по Договору, </w:t>
      </w:r>
      <w:r>
        <w:rPr>
          <w:bCs/>
        </w:rPr>
        <w:t>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p>
    <w:p>
      <w:pPr>
        <w:pStyle w:val="42Table-NormalRSHBTable-Normal3"/>
        <w:shd w:val="clear" w:color="auto" w:fill="FFFFFF"/>
        <w:tabs>
          <w:tab w:val="clear" w:pos="708"/>
          <w:tab w:val="left" w:pos="709" w:leader="none"/>
        </w:tabs>
        <w:spacing w:lineRule="auto" w:line="276" w:before="0" w:after="0"/>
        <w:ind w:left="0" w:firstLine="709"/>
        <w:contextualSpacing/>
        <w:jc w:val="both"/>
        <w:rPr/>
      </w:pPr>
      <w:r>
        <w:rPr>
          <w:bCs/>
        </w:rPr>
        <w:t xml:space="preserve">2.2.6. </w:t>
      </w:r>
      <w: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42Table-NormalRSHBTable-Normal3"/>
        <w:shd w:val="clear" w:color="auto" w:fill="FFFFFF"/>
        <w:tabs>
          <w:tab w:val="clear" w:pos="708"/>
          <w:tab w:val="left" w:pos="709" w:leader="none"/>
        </w:tabs>
        <w:spacing w:lineRule="auto" w:line="276" w:before="0" w:after="0"/>
        <w:ind w:left="0" w:firstLine="709"/>
        <w:contextualSpacing/>
        <w:jc w:val="both"/>
        <w:rPr/>
      </w:pPr>
      <w:r>
        <w:rPr/>
        <w:t>2.2.7. 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42Table-NormalRSHBTable-Normal3"/>
        <w:shd w:val="clear" w:color="auto" w:fill="FFFFFF"/>
        <w:tabs>
          <w:tab w:val="clear" w:pos="708"/>
          <w:tab w:val="left" w:pos="709" w:leader="none"/>
        </w:tabs>
        <w:spacing w:lineRule="auto" w:line="276" w:before="0" w:after="0"/>
        <w:ind w:left="0" w:firstLine="709"/>
        <w:contextualSpacing/>
        <w:jc w:val="both"/>
        <w:rPr>
          <w:sz w:val="10"/>
          <w:szCs w:val="10"/>
        </w:rPr>
      </w:pPr>
      <w:r>
        <w:rPr>
          <w:sz w:val="10"/>
          <w:szCs w:val="10"/>
        </w:rPr>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Подрядчик обязан</w:t>
      </w:r>
      <w:r>
        <w:rPr>
          <w:b/>
          <w:bCs/>
        </w:rPr>
        <w:t>:</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Выполнить Работы в объеме, сроки  согласно графика производства работ (Приложение №11 к Договору) и с качеством, соответствующим требованиям Договора и Применимого права и сдать их результат Заказчику.</w:t>
      </w:r>
    </w:p>
    <w:p>
      <w:pPr>
        <w:pStyle w:val="42Table-NormalRSHBTable-Normal3"/>
        <w:numPr>
          <w:ilvl w:val="2"/>
          <w:numId w:val="5"/>
        </w:numPr>
        <w:shd w:val="clear" w:color="auto" w:fill="FFFFFF"/>
        <w:tabs>
          <w:tab w:val="clear" w:pos="708"/>
          <w:tab w:val="left" w:pos="1418" w:leader="none"/>
        </w:tabs>
        <w:spacing w:lineRule="auto" w:line="276" w:before="0" w:after="0"/>
        <w:ind w:left="0" w:firstLine="709"/>
        <w:contextualSpacing/>
        <w:jc w:val="both"/>
        <w:rPr/>
      </w:pPr>
      <w:r>
        <w:rPr>
          <w:bCs/>
        </w:rPr>
        <w:t>В соответствии с пунктом 2.1.2 Договора, принять от Заказчика на время выполнения Работ по Договору место производства Работ, место/помещение для складирования Материально-технических ресурсов по соответствующим актам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При приемке места производства Работ, места/помещения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0" w:leader="none"/>
        </w:tabs>
        <w:spacing w:lineRule="auto" w:line="276"/>
        <w:ind w:left="0" w:firstLine="709"/>
        <w:jc w:val="both"/>
        <w:rPr/>
      </w:pPr>
      <w: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местам/помещению, оборудованию и инструменту.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До фактического начала выполнения Работ предоставить Заказчику:</w:t>
      </w:r>
    </w:p>
    <w:p>
      <w:pPr>
        <w:pStyle w:val="ListParagraph"/>
        <w:numPr>
          <w:ilvl w:val="0"/>
          <w:numId w:val="12"/>
        </w:numPr>
        <w:shd w:val="clear" w:color="auto" w:fill="FFFFFF"/>
        <w:tabs>
          <w:tab w:val="clear" w:pos="708"/>
          <w:tab w:val="left" w:pos="0" w:leader="none"/>
          <w:tab w:val="left" w:pos="992" w:leader="none"/>
        </w:tabs>
        <w:spacing w:lineRule="auto" w:line="276"/>
        <w:ind w:left="0" w:firstLine="709"/>
        <w:jc w:val="both"/>
        <w:rPr/>
      </w:pPr>
      <w:r>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2"/>
        </w:numPr>
        <w:shd w:val="clear" w:color="auto" w:fill="FFFFFF"/>
        <w:tabs>
          <w:tab w:val="clear" w:pos="708"/>
          <w:tab w:val="left" w:pos="0" w:leader="none"/>
          <w:tab w:val="left" w:pos="992" w:leader="none"/>
        </w:tabs>
        <w:spacing w:lineRule="auto" w:line="276"/>
        <w:ind w:left="0" w:firstLine="709"/>
        <w:jc w:val="both"/>
        <w:rPr/>
      </w:pPr>
      <w:r>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clear" w:pos="708"/>
          <w:tab w:val="left" w:pos="0" w:leader="none"/>
          <w:tab w:val="left" w:pos="992" w:leader="none"/>
        </w:tabs>
        <w:spacing w:lineRule="auto" w:line="276"/>
        <w:ind w:left="0" w:firstLine="709"/>
        <w:jc w:val="both"/>
        <w:rPr/>
      </w:pPr>
      <w:r>
        <w:rPr/>
        <w:t xml:space="preserve">контакты </w:t>
      </w:r>
      <w:r>
        <w:rPr>
          <w:bCs/>
        </w:rPr>
        <w:t xml:space="preserve">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 к Договору) в соответствии с пунктами 2.1.2 и 2.1.3 Договора.</w:t>
      </w:r>
    </w:p>
    <w:p>
      <w:pPr>
        <w:pStyle w:val="ListParagraph"/>
        <w:numPr>
          <w:ilvl w:val="2"/>
          <w:numId w:val="5"/>
        </w:numPr>
        <w:shd w:val="clear" w:color="auto" w:fill="FFFFFF"/>
        <w:tabs>
          <w:tab w:val="clear" w:pos="708"/>
          <w:tab w:val="left" w:pos="0" w:leader="none"/>
        </w:tabs>
        <w:spacing w:lineRule="auto" w:line="276"/>
        <w:ind w:left="0" w:firstLine="709"/>
        <w:jc w:val="both"/>
        <w:rPr>
          <w:highlight w:val="white"/>
        </w:rPr>
      </w:pPr>
      <w:r>
        <w:rPr>
          <w:bCs/>
        </w:rPr>
        <w:t xml:space="preserve">В случае предоставления Заказчиком помещения, </w:t>
      </w:r>
      <w:r>
        <w:rPr/>
        <w:t>обеспечить сохранность переданных Заказчиком по соответствующим актам сдачи-приемки мест/помещений, а также возврат их Заказчику в первоначаль</w:t>
      </w:r>
      <w:r>
        <w:rPr>
          <w:highlight w:val="white"/>
        </w:rPr>
        <w:t xml:space="preserve">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разделе 13 Договора, – не позднее 3 (трех) рабочих дней с даты получения соответствующего требования Заказчика. </w:t>
      </w:r>
    </w:p>
    <w:p>
      <w:pPr>
        <w:pStyle w:val="ListParagraph"/>
        <w:numPr>
          <w:ilvl w:val="2"/>
          <w:numId w:val="5"/>
        </w:numPr>
        <w:shd w:val="clear" w:color="auto" w:fill="FFFFFF"/>
        <w:tabs>
          <w:tab w:val="clear" w:pos="708"/>
          <w:tab w:val="left" w:pos="0" w:leader="none"/>
        </w:tabs>
        <w:spacing w:lineRule="auto" w:line="276"/>
        <w:ind w:left="0" w:firstLine="709"/>
        <w:jc w:val="both"/>
        <w:rPr>
          <w:highlight w:val="white"/>
        </w:rPr>
      </w:pPr>
      <w:r>
        <w:rPr/>
        <w:t>Обеспечить наличие допусков, разрешений и лицензий, необходимых для производства Работ.</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w:t>
      </w:r>
      <w:r>
        <w:rPr>
          <w:bCs/>
        </w:rPr>
        <w:t xml:space="preserve"> </w:t>
      </w:r>
      <w:r>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и/или лицензии и направить их копии Заказчику.</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5"/>
        </w:numPr>
        <w:shd w:val="clear" w:color="auto" w:fill="FFFFFF"/>
        <w:tabs>
          <w:tab w:val="clear" w:pos="708"/>
          <w:tab w:val="left" w:pos="0" w:leader="none"/>
        </w:tabs>
        <w:spacing w:lineRule="auto" w:line="276"/>
        <w:ind w:left="0" w:firstLine="709"/>
        <w:jc w:val="both"/>
        <w:rPr/>
      </w:pPr>
      <w:r>
        <w:rPr>
          <w:highlight w:val="white"/>
        </w:rPr>
        <w:t>Выполнять Работы силами квалифицированных специалистов, прошедших соответствующую подготовку, квалификация, опыт и компетенция которых позволяет обеспечи</w:t>
      </w:r>
      <w:r>
        <w:rPr/>
        <w:t xml:space="preserve">ть надлежащее и качественное выполнение Работ.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Обеспечить доставку, приемку, разгрузку, складирование и хранение прибывающих на ремонтную площадку Материально-технических ресурсов, необходимых для выполнения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Организовать контроль качества Материально-технических ресурсов поступающих для производства Работ, обеспечить наличие соответствующих сертификатов, технических паспортов и других документов, удостоверяющих качество используемых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Предоставить Заказчику в полном объеме необходимую для приемки Работ приемо-сдаточную и исполнительную документацию по форме (Приложение №6 к Договору) в 3 (трех) экземплярах.</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В течение двух дней принять меры к устранению замечаний, указанных Заказчиком в журнале производства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Передать Заказчику в полном объеме лом черных и цветных металлов, образовавшийся в ходе выполнения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0" w:leader="none"/>
        </w:tabs>
        <w:spacing w:lineRule="auto" w:line="276"/>
        <w:ind w:firstLine="709"/>
        <w:rPr>
          <w:sz w:val="24"/>
          <w:szCs w:val="24"/>
        </w:rPr>
      </w:pPr>
      <w:r>
        <w:rPr>
          <w:sz w:val="24"/>
          <w:szCs w:val="24"/>
        </w:rPr>
        <w:t>Подрядчик не несет ответственности за возможные убытки, возникшие в результате исполнения указаний Заказчика, только в том случае если письменно известил Заказчика о возможных негативных последствиях исполнения таких указаний в соответствии с пунктом 2.3.21.</w:t>
      </w:r>
    </w:p>
    <w:p>
      <w:pPr>
        <w:pStyle w:val="ListParagraph"/>
        <w:shd w:val="clear" w:color="auto" w:fill="FFFFFF"/>
        <w:tabs>
          <w:tab w:val="clear" w:pos="708"/>
          <w:tab w:val="left" w:pos="0" w:leader="none"/>
        </w:tabs>
        <w:spacing w:lineRule="auto" w:line="276"/>
        <w:ind w:left="0" w:firstLine="709"/>
        <w:jc w:val="both"/>
        <w:rPr/>
      </w:pPr>
      <w:r>
        <w:rPr/>
        <w:t>Подрядчик не вправе отказаться от выполнения или задержать выполнение указаний Заказчика в части сокращения объемов Работ, прекращения и/или исключения отдельных видов Работ кроме случая, указанного в пункте 2.3.21.1.</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Письменно известить Заказчика и до получения от него необходимых указаний приостановить Работу при обнаружении: </w:t>
      </w:r>
    </w:p>
    <w:p>
      <w:pPr>
        <w:pStyle w:val="Normal"/>
        <w:shd w:val="clear" w:color="auto" w:fill="FFFFFF"/>
        <w:tabs>
          <w:tab w:val="clear" w:pos="708"/>
          <w:tab w:val="left" w:pos="0" w:leader="none"/>
        </w:tabs>
        <w:spacing w:lineRule="auto" w:line="276"/>
        <w:ind w:firstLine="709"/>
        <w:rPr/>
      </w:pPr>
      <w:r>
        <w:rPr>
          <w:sz w:val="24"/>
          <w:szCs w:val="24"/>
        </w:rPr>
        <w:t>2.3.21.1. возможных неблагоприятных для Заказчика последствий выполнения его указаний, в любом случае не позднее момента начала выполнения таких указаний;</w:t>
      </w:r>
    </w:p>
    <w:p>
      <w:pPr>
        <w:pStyle w:val="Normal"/>
        <w:shd w:val="clear" w:color="auto" w:fill="FFFFFF"/>
        <w:tabs>
          <w:tab w:val="clear" w:pos="708"/>
          <w:tab w:val="left" w:pos="0" w:leader="none"/>
        </w:tabs>
        <w:spacing w:lineRule="auto" w:line="276"/>
        <w:ind w:firstLine="709"/>
        <w:rPr/>
      </w:pPr>
      <w:r>
        <w:rPr>
          <w:sz w:val="24"/>
          <w:szCs w:val="24"/>
        </w:rPr>
        <w:t>2.3.21.2.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в любом случае не позднее следующего рабочего дня после обнаружения таких отклонений;</w:t>
      </w:r>
    </w:p>
    <w:p>
      <w:pPr>
        <w:pStyle w:val="Normal"/>
        <w:shd w:val="clear" w:color="auto" w:fill="FFFFFF"/>
        <w:tabs>
          <w:tab w:val="clear" w:pos="708"/>
          <w:tab w:val="left" w:pos="0" w:leader="none"/>
        </w:tabs>
        <w:spacing w:lineRule="auto" w:line="276"/>
        <w:ind w:firstLine="709"/>
        <w:rPr/>
      </w:pPr>
      <w:r>
        <w:rPr>
          <w:sz w:val="24"/>
          <w:szCs w:val="24"/>
        </w:rPr>
        <w:t xml:space="preserve">2.3.21.3. любых иных обстоятельств, угрожающих годности, прочности и/или безопасности Результата Работ, либо способных повлечь изменение объемов, сроков, качества или стоимости выполнения Работ, предусмотренных Договором, в любом случае не позднее следующего рабочего дня после обнаружения таких обстоятельств.  </w:t>
      </w:r>
    </w:p>
    <w:p>
      <w:pPr>
        <w:pStyle w:val="Normal"/>
        <w:shd w:val="clear" w:color="auto" w:fill="FFFFFF"/>
        <w:tabs>
          <w:tab w:val="clear" w:pos="708"/>
          <w:tab w:val="left" w:pos="0" w:leader="none"/>
        </w:tabs>
        <w:spacing w:lineRule="auto" w:line="276"/>
        <w:ind w:firstLine="709"/>
        <w:rPr>
          <w:sz w:val="24"/>
          <w:szCs w:val="24"/>
        </w:rPr>
      </w:pPr>
      <w:r>
        <w:rPr>
          <w:sz w:val="24"/>
          <w:szCs w:val="24"/>
        </w:rPr>
        <w:t>Невыполнение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tabs>
          <w:tab w:val="clear" w:pos="708"/>
          <w:tab w:val="left" w:pos="0" w:leader="none"/>
          <w:tab w:val="left" w:pos="992" w:leader="none"/>
        </w:tabs>
        <w:spacing w:lineRule="auto" w:line="276"/>
        <w:ind w:left="0" w:firstLine="709"/>
        <w:jc w:val="both"/>
        <w:rPr/>
      </w:pPr>
      <w:r>
        <w:rPr/>
        <w:t>аварии – в течение 2 (двух)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tabs>
          <w:tab w:val="clear" w:pos="708"/>
          <w:tab w:val="left" w:pos="0" w:leader="none"/>
          <w:tab w:val="left" w:pos="992" w:leader="none"/>
        </w:tabs>
        <w:spacing w:lineRule="auto" w:line="276"/>
        <w:ind w:left="0" w:firstLine="709"/>
        <w:jc w:val="both"/>
        <w:rPr/>
      </w:pPr>
      <w:r>
        <w:rPr/>
        <w:t>хищении и иных противоправных действиях – в течение 24 (двадцати четырех)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аресте и/или блокировании счетов и/или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5"/>
        </w:numPr>
        <w:shd w:val="clear" w:color="auto" w:fill="FFFFFF"/>
        <w:tabs>
          <w:tab w:val="clear" w:pos="708"/>
          <w:tab w:val="left" w:pos="0" w:leader="none"/>
        </w:tabs>
        <w:spacing w:lineRule="auto" w:line="276"/>
        <w:ind w:left="0" w:firstLine="709"/>
        <w:jc w:val="both"/>
        <w:rPr/>
      </w:pPr>
      <w:r>
        <w:rPr/>
        <w:t>Нести риск случайной гибели и случайного повреждения мест/помещений, прин</w:t>
      </w:r>
      <w:r>
        <w:rPr>
          <w:highlight w:val="white"/>
        </w:rPr>
        <w:t>ятых от Заказчик</w:t>
      </w:r>
      <w:r>
        <w:rPr/>
        <w:t>а в соответствии с пунктом 2.3.2 Договора, до момента их передачи (возврата) Заказчику по соответствующим актам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0" w:leader="none"/>
        </w:tabs>
        <w:spacing w:lineRule="auto" w:line="276"/>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Письменно уведомлять Заказчика о необходимости проведения освидетельствования и/или приемки Скрытых работ. 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 (Приложение №7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w:t>
      </w:r>
      <w:r>
        <w:rPr>
          <w:bCs/>
        </w:rPr>
        <w:t xml:space="preserve">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без какого-либо ограничения размера такого возмещения.</w:t>
      </w:r>
    </w:p>
    <w:p>
      <w:pPr>
        <w:pStyle w:val="ListParagraph"/>
        <w:shd w:val="clear" w:color="auto" w:fill="FFFFFF"/>
        <w:tabs>
          <w:tab w:val="clear" w:pos="708"/>
          <w:tab w:val="left" w:pos="0" w:leader="none"/>
        </w:tabs>
        <w:spacing w:lineRule="auto" w:line="276"/>
        <w:ind w:left="0" w:firstLine="709"/>
        <w:jc w:val="both"/>
        <w:rPr/>
      </w:pPr>
      <w: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страхования.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 течении 10 (десяти) рабочих дней с даты получения запроса( письма) касающейся информации Договора  Подрядчик обязан предоставить ответ Заказчику.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Исполнять иные обязанности, предусмотренные Договором и законодательством Российской Федерации. </w:t>
      </w:r>
    </w:p>
    <w:p>
      <w:pPr>
        <w:pStyle w:val="Normal"/>
        <w:shd w:val="clear" w:color="auto" w:fill="FFFFFF"/>
        <w:tabs>
          <w:tab w:val="clear" w:pos="708"/>
          <w:tab w:val="left" w:pos="0" w:leader="none"/>
        </w:tabs>
        <w:spacing w:lineRule="auto" w:line="276"/>
        <w:ind w:hanging="0"/>
        <w:rPr>
          <w:sz w:val="6"/>
          <w:szCs w:val="6"/>
        </w:rPr>
      </w:pPr>
      <w:r>
        <w:rPr>
          <w:sz w:val="6"/>
          <w:szCs w:val="6"/>
        </w:rPr>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Подрядчик имеет право</w:t>
      </w:r>
      <w:r>
        <w:rPr>
          <w:b/>
          <w:bCs/>
        </w:rPr>
        <w:t>:</w:t>
      </w:r>
    </w:p>
    <w:p>
      <w:pPr>
        <w:pStyle w:val="ListParagraph"/>
        <w:numPr>
          <w:ilvl w:val="2"/>
          <w:numId w:val="6"/>
        </w:numPr>
        <w:shd w:val="clear" w:color="auto" w:fill="FFFFFF"/>
        <w:tabs>
          <w:tab w:val="clear" w:pos="708"/>
          <w:tab w:val="left" w:pos="0" w:leader="none"/>
        </w:tabs>
        <w:spacing w:lineRule="auto" w:line="276"/>
        <w:ind w:left="0" w:firstLine="709"/>
        <w:rPr/>
      </w:pPr>
      <w:r>
        <w:rPr/>
        <w:t>Самостоятельно организовать выполнение Работ.</w:t>
      </w:r>
    </w:p>
    <w:p>
      <w:pPr>
        <w:pStyle w:val="ListParagraph"/>
        <w:numPr>
          <w:ilvl w:val="2"/>
          <w:numId w:val="7"/>
        </w:numPr>
        <w:shd w:val="clear" w:color="auto" w:fill="FFFFFF"/>
        <w:tabs>
          <w:tab w:val="clear" w:pos="708"/>
          <w:tab w:val="left" w:pos="0" w:leader="none"/>
        </w:tabs>
        <w:spacing w:lineRule="auto" w:line="276"/>
        <w:ind w:left="0" w:firstLine="709"/>
        <w:jc w:val="both"/>
        <w:rPr/>
      </w:pPr>
      <w: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25% (двадцать пять)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0" w:leader="none"/>
        </w:tabs>
        <w:spacing w:lineRule="auto" w:line="276"/>
        <w:ind w:left="0" w:hanging="0"/>
        <w:jc w:val="both"/>
        <w:rPr/>
      </w:pPr>
      <w:r>
        <w:rPr/>
        <w:tab/>
        <w:t xml:space="preserve">При согласовании привлечения Субподрядчика Подрядчик представляет Заказчику: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 xml:space="preserve">проект договора с Субподрядчиком;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 xml:space="preserve">сведения об объемах выполнения работ Субподрядчиком;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 xml:space="preserve">пофамильный перечень персонала Субподрядчика, который будет задействован при производстве Работ;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bCs/>
        </w:rPr>
        <w:t>учредительные документы;</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bCs/>
        </w:rPr>
        <w:t>подтверждение полномочий руководителя субподрядной организации;</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справку по форме Приложения № 5 к Договору (в случае привлечения Субподрядчика, соответствующего критериям СМП).</w:t>
      </w:r>
    </w:p>
    <w:p>
      <w:pPr>
        <w:pStyle w:val="Normal"/>
        <w:shd w:val="clear" w:color="auto" w:fill="FFFFFF"/>
        <w:tabs>
          <w:tab w:val="clear" w:pos="708"/>
          <w:tab w:val="left" w:pos="0" w:leader="none"/>
        </w:tabs>
        <w:spacing w:lineRule="auto" w:line="276" w:before="0" w:after="0"/>
        <w:ind w:firstLine="709"/>
        <w:contextualSpacing/>
        <w:rPr/>
      </w:pPr>
      <w:r>
        <w:rPr>
          <w:sz w:val="24"/>
          <w:szCs w:val="24"/>
        </w:rPr>
        <w:t xml:space="preserve">2.5. </w:t>
      </w:r>
      <w:r>
        <w:rPr>
          <w:bCs/>
          <w:sz w:val="24"/>
          <w:szCs w:val="24"/>
        </w:rPr>
        <w:t>В рамках исполнения Договора Стороны обязуются применять электронный документооборот,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инициирует настройку роуминга между Операторами систем электронного документооборота Сторон</w:t>
      </w:r>
      <w:r>
        <w:rPr>
          <w:sz w:val="24"/>
          <w:szCs w:val="24"/>
        </w:rPr>
        <w:t>.</w:t>
      </w:r>
    </w:p>
    <w:p>
      <w:pPr>
        <w:pStyle w:val="ListParagraph"/>
        <w:shd w:val="clear" w:color="auto" w:fill="FFFFFF"/>
        <w:tabs>
          <w:tab w:val="clear" w:pos="708"/>
          <w:tab w:val="left" w:pos="0" w:leader="none"/>
        </w:tabs>
        <w:ind w:left="0" w:firstLine="709"/>
        <w:jc w:val="both"/>
        <w:rPr>
          <w:sz w:val="10"/>
          <w:szCs w:val="10"/>
        </w:rPr>
      </w:pPr>
      <w:r>
        <w:rPr>
          <w:sz w:val="10"/>
          <w:szCs w:val="10"/>
        </w:rPr>
      </w:r>
    </w:p>
    <w:p>
      <w:pPr>
        <w:pStyle w:val="ListParagraph"/>
        <w:numPr>
          <w:ilvl w:val="0"/>
          <w:numId w:val="7"/>
        </w:numPr>
        <w:shd w:val="clear" w:color="auto" w:fill="FFFFFF"/>
        <w:tabs>
          <w:tab w:val="clear" w:pos="708"/>
          <w:tab w:val="left" w:pos="0" w:leader="none"/>
        </w:tabs>
        <w:spacing w:lineRule="auto" w:line="276"/>
        <w:ind w:left="0" w:firstLine="709"/>
        <w:jc w:val="center"/>
        <w:rPr>
          <w:b/>
          <w:bCs/>
        </w:rPr>
      </w:pPr>
      <w:r>
        <w:rPr>
          <w:b/>
          <w:bCs/>
        </w:rPr>
        <w:t>Цена Договора и порядок расчетов</w:t>
      </w:r>
    </w:p>
    <w:p>
      <w:pPr>
        <w:pStyle w:val="Normal"/>
        <w:shd w:val="clear" w:color="auto" w:fill="FFFFFF"/>
        <w:tabs>
          <w:tab w:val="clear" w:pos="708"/>
          <w:tab w:val="left" w:pos="0" w:leader="none"/>
          <w:tab w:val="left" w:pos="1417" w:leader="none"/>
        </w:tabs>
        <w:spacing w:lineRule="auto" w:line="276"/>
        <w:ind w:firstLine="709"/>
        <w:rPr/>
      </w:pPr>
      <w:r>
        <w:rPr>
          <w:bCs/>
          <w:sz w:val="24"/>
          <w:szCs w:val="24"/>
        </w:rPr>
        <w:t xml:space="preserve">3.1.  </w:t>
      </w:r>
      <w:r>
        <w:rPr/>
        <w:t xml:space="preserve"> Цена </w:t>
      </w:r>
      <w:r>
        <w:rPr>
          <w:sz w:val="24"/>
          <w:szCs w:val="24"/>
          <w:highlight w:val="white"/>
        </w:rPr>
        <w:t xml:space="preserve">Договора </w:t>
      </w:r>
      <w:r>
        <w:rPr>
          <w:bCs/>
          <w:sz w:val="24"/>
          <w:szCs w:val="24"/>
          <w:highlight w:val="white"/>
        </w:rPr>
        <w:t xml:space="preserve">в соответствии с Локальным сметным расчетом (Приложение №2 к Договору) является предельной и составляет _______ (_________) рубль __ копеек, в том числе НДС (%) – ______ (____________) рубля __ копеек. </w:t>
      </w:r>
    </w:p>
    <w:p>
      <w:pPr>
        <w:pStyle w:val="Normal"/>
        <w:shd w:val="clear" w:color="auto" w:fill="FFFFFF"/>
        <w:tabs>
          <w:tab w:val="clear" w:pos="708"/>
          <w:tab w:val="left" w:pos="0" w:leader="none"/>
          <w:tab w:val="left" w:pos="1417" w:leader="none"/>
        </w:tabs>
        <w:spacing w:lineRule="auto" w:line="276"/>
        <w:ind w:firstLine="709"/>
        <w:rPr>
          <w:sz w:val="24"/>
          <w:szCs w:val="24"/>
        </w:rPr>
      </w:pPr>
      <w:r>
        <w:rPr>
          <w:sz w:val="24"/>
          <w:szCs w:val="24"/>
        </w:rPr>
        <w:t xml:space="preserve">3.1.1 Предельная </w:t>
      </w:r>
      <w:r>
        <w:rPr>
          <w:sz w:val="24"/>
          <w:szCs w:val="24"/>
          <w:highlight w:val="white"/>
        </w:rPr>
        <w:t>цена Работ (без учета Лимита на непредвиденные работы и затраты) составляет _______ (__________________) рубля ______ копеек, в том числе НДС (%) – ______ (_____) рубля ___ копеек.</w:t>
      </w:r>
    </w:p>
    <w:p>
      <w:pPr>
        <w:pStyle w:val="Normal"/>
        <w:shd w:val="clear" w:color="auto" w:fill="FFFFFF"/>
        <w:tabs>
          <w:tab w:val="clear" w:pos="708"/>
          <w:tab w:val="left" w:pos="0" w:leader="none"/>
          <w:tab w:val="left" w:pos="1417" w:leader="none"/>
        </w:tabs>
        <w:spacing w:lineRule="auto" w:line="276"/>
        <w:ind w:firstLine="709"/>
        <w:rPr>
          <w:sz w:val="24"/>
          <w:szCs w:val="24"/>
        </w:rPr>
      </w:pPr>
      <w:r>
        <w:rPr>
          <w:sz w:val="24"/>
          <w:szCs w:val="24"/>
        </w:rPr>
        <w:t xml:space="preserve">3.1.2. Лимит на </w:t>
      </w:r>
      <w:r>
        <w:rPr>
          <w:sz w:val="24"/>
          <w:szCs w:val="24"/>
          <w:highlight w:val="white"/>
        </w:rPr>
        <w:t>непредвиденные работы и затраты составляет ____ (_____) рублей ____ копеек, в том числе НДС (%) – ____ (____) рубль __копеек.</w:t>
      </w:r>
    </w:p>
    <w:p>
      <w:pPr>
        <w:pStyle w:val="ListParagraph"/>
        <w:numPr>
          <w:ilvl w:val="1"/>
          <w:numId w:val="23"/>
        </w:numPr>
        <w:shd w:val="clear" w:color="auto" w:fill="FFFFFF"/>
        <w:tabs>
          <w:tab w:val="clear" w:pos="708"/>
          <w:tab w:val="left" w:pos="0" w:leader="none"/>
        </w:tabs>
        <w:spacing w:lineRule="auto" w:line="276"/>
        <w:ind w:left="0" w:firstLine="709"/>
        <w:jc w:val="both"/>
        <w:rPr/>
      </w:pPr>
      <w:r>
        <w:rPr/>
        <w:t xml:space="preserve">Цена Договора включает в себя </w:t>
      </w:r>
      <w:r>
        <w:rPr>
          <w:bCs/>
        </w:rPr>
        <w:t>прибыль Подрядчика, а также все расходы и затраты Подрядчика на:</w:t>
      </w:r>
    </w:p>
    <w:p>
      <w:pPr>
        <w:pStyle w:val="ListParagraph"/>
        <w:numPr>
          <w:ilvl w:val="2"/>
          <w:numId w:val="23"/>
        </w:numPr>
        <w:shd w:val="clear" w:color="auto" w:fill="FFFFFF"/>
        <w:tabs>
          <w:tab w:val="clear" w:pos="708"/>
          <w:tab w:val="left" w:pos="0" w:leader="none"/>
        </w:tabs>
        <w:spacing w:lineRule="auto" w:line="276"/>
        <w:ind w:left="0" w:firstLine="709"/>
        <w:jc w:val="both"/>
        <w:rPr>
          <w:highlight w:val="white"/>
        </w:rPr>
      </w:pPr>
      <w:r>
        <w:rPr>
          <w:highlight w:val="white"/>
        </w:rPr>
        <w:t>Выполнение ремонтных работ;</w:t>
      </w:r>
    </w:p>
    <w:p>
      <w:pPr>
        <w:pStyle w:val="ListParagraph"/>
        <w:numPr>
          <w:ilvl w:val="2"/>
          <w:numId w:val="23"/>
        </w:numPr>
        <w:shd w:val="clear" w:color="auto" w:fill="FFFFFF"/>
        <w:tabs>
          <w:tab w:val="clear" w:pos="708"/>
          <w:tab w:val="left" w:pos="0" w:leader="none"/>
        </w:tabs>
        <w:spacing w:lineRule="auto" w:line="276"/>
        <w:ind w:left="0" w:firstLine="709"/>
        <w:jc w:val="both"/>
        <w:rPr>
          <w:highlight w:val="white"/>
        </w:rPr>
      </w:pPr>
      <w:r>
        <w:rPr>
          <w:highlight w:val="white"/>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3"/>
        </w:numPr>
        <w:shd w:val="clear" w:color="auto" w:fill="FFFFFF"/>
        <w:tabs>
          <w:tab w:val="clear" w:pos="708"/>
          <w:tab w:val="left" w:pos="0" w:leader="none"/>
        </w:tabs>
        <w:spacing w:lineRule="auto" w:line="276"/>
        <w:ind w:left="0" w:firstLine="709"/>
        <w:jc w:val="both"/>
        <w:rPr>
          <w:highlight w:val="white"/>
        </w:rPr>
      </w:pPr>
      <w:r>
        <w:rPr>
          <w:highlight w:val="white"/>
        </w:rPr>
        <w:t xml:space="preserve">Заработную плату, накладные </w:t>
      </w:r>
      <w:r>
        <w:rPr>
          <w:bCs/>
          <w:highlight w:val="white"/>
        </w:rPr>
        <w:t>и командировочные</w:t>
      </w:r>
      <w:r>
        <w:rPr>
          <w:highlight w:val="white"/>
        </w:rPr>
        <w:t xml:space="preserve"> расходы, </w:t>
      </w:r>
      <w:r>
        <w:rPr>
          <w:bCs/>
          <w:highlight w:val="white"/>
        </w:rPr>
        <w:t>перемещение и размещение персонала Подрядчика</w:t>
      </w:r>
      <w:r>
        <w:rPr>
          <w:highlight w:val="white"/>
        </w:rPr>
        <w:t>;</w:t>
      </w:r>
    </w:p>
    <w:p>
      <w:pPr>
        <w:pStyle w:val="ListParagraph"/>
        <w:numPr>
          <w:ilvl w:val="2"/>
          <w:numId w:val="23"/>
        </w:numPr>
        <w:shd w:val="clear" w:color="auto" w:fill="FFFFFF"/>
        <w:tabs>
          <w:tab w:val="clear" w:pos="708"/>
          <w:tab w:val="left" w:pos="0" w:leader="none"/>
        </w:tabs>
        <w:spacing w:lineRule="auto" w:line="276"/>
        <w:ind w:left="0" w:firstLine="709"/>
        <w:jc w:val="both"/>
        <w:rPr/>
      </w:pPr>
      <w:r>
        <w:rPr>
          <w:highlight w:val="white"/>
        </w:rPr>
        <w:t>Подле</w:t>
      </w:r>
      <w:r>
        <w:rPr/>
        <w:t xml:space="preserve">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23"/>
        </w:numPr>
        <w:shd w:val="clear" w:color="auto" w:fill="FFFFFF"/>
        <w:tabs>
          <w:tab w:val="clear" w:pos="708"/>
          <w:tab w:val="left" w:pos="0" w:leader="none"/>
        </w:tabs>
        <w:spacing w:lineRule="auto" w:line="276"/>
        <w:ind w:left="0" w:firstLine="709"/>
        <w:jc w:val="both"/>
        <w:rPr/>
      </w:pPr>
      <w:r>
        <w:rPr/>
        <w:t xml:space="preserve">Все прочие затраты и расходы Подрядчика, связанные </w:t>
      </w:r>
      <w:r>
        <w:rPr>
          <w:lang w:val="en-US"/>
        </w:rPr>
        <w:t>c</w:t>
      </w:r>
      <w:r>
        <w:rPr/>
        <w:t xml:space="preserve">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2"/>
          <w:numId w:val="23"/>
        </w:numPr>
        <w:shd w:val="clear" w:color="auto" w:fill="FFFFFF"/>
        <w:tabs>
          <w:tab w:val="clear" w:pos="708"/>
          <w:tab w:val="left" w:pos="0" w:leader="none"/>
        </w:tabs>
        <w:spacing w:lineRule="auto" w:line="276"/>
        <w:ind w:left="0" w:firstLine="709"/>
        <w:jc w:val="both"/>
        <w:rPr/>
      </w:pPr>
      <w:r>
        <w:rPr>
          <w:bCs/>
          <w:iCs/>
        </w:rPr>
        <w:t>Изменение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r>
        <w:rPr/>
        <w:t>.</w:t>
      </w:r>
    </w:p>
    <w:p>
      <w:pPr>
        <w:pStyle w:val="ListParagraph"/>
        <w:numPr>
          <w:ilvl w:val="1"/>
          <w:numId w:val="23"/>
        </w:numPr>
        <w:shd w:val="clear" w:color="auto" w:fill="FFFFFF"/>
        <w:tabs>
          <w:tab w:val="clear" w:pos="708"/>
          <w:tab w:val="left" w:pos="0" w:leader="none"/>
        </w:tabs>
        <w:spacing w:lineRule="auto" w:line="276"/>
        <w:ind w:left="0" w:firstLine="709"/>
        <w:jc w:val="both"/>
        <w:rPr/>
      </w:pPr>
      <w:r>
        <w:rPr>
          <w:bCs/>
          <w:highlight w:val="white"/>
        </w:rPr>
        <w:t>В случае изменения объёмов работ в пределах цены Договора стороны подписывают исполнительные сметы н</w:t>
      </w:r>
      <w:r>
        <w:rPr>
          <w:bCs/>
        </w:rPr>
        <w:t xml:space="preserve">а основании уточненной ведомости объёмов работ, согласованной сторонами и утверждённой Заказчиком с сохранением ценообразующих факторов, учтенных в Локальных сметных расчетах настоящего Договора, с составлением ведомости дополнительных объёмов работ. Уточнённая ведомость, исполнительная смета является обязательными для обеих Сторон. </w:t>
      </w:r>
    </w:p>
    <w:p>
      <w:pPr>
        <w:pStyle w:val="ListParagraph"/>
        <w:numPr>
          <w:ilvl w:val="1"/>
          <w:numId w:val="23"/>
        </w:numPr>
        <w:shd w:val="clear" w:color="auto" w:fill="FFFFFF"/>
        <w:tabs>
          <w:tab w:val="clear" w:pos="708"/>
          <w:tab w:val="left" w:pos="0" w:leader="none"/>
        </w:tabs>
        <w:spacing w:lineRule="auto" w:line="276"/>
        <w:ind w:left="0" w:firstLine="709"/>
        <w:jc w:val="both"/>
        <w:rPr/>
      </w:pPr>
      <w:r>
        <w:rPr/>
        <w:t>Расчет за выполненные работы (без учета непредвиденных работ и затрат) осуществляется Заказчиком: в течении 7 (семи) рабочих дней, с даты подписания Сторонами документов, указанных в пункте 4.1 Договора, на основании счета, выставленного Подрядчиком, и с учетом пунктов 3.6 Договора.</w:t>
      </w:r>
    </w:p>
    <w:p>
      <w:pPr>
        <w:pStyle w:val="ListParagraph"/>
        <w:numPr>
          <w:ilvl w:val="1"/>
          <w:numId w:val="23"/>
        </w:numPr>
        <w:shd w:val="clear" w:color="auto" w:fill="FFFFFF"/>
        <w:tabs>
          <w:tab w:val="clear" w:pos="708"/>
          <w:tab w:val="left" w:pos="0" w:leader="none"/>
        </w:tabs>
        <w:spacing w:lineRule="auto" w:line="276"/>
        <w:ind w:left="0" w:firstLine="709"/>
        <w:jc w:val="both"/>
        <w:rPr/>
      </w:pPr>
      <w:r>
        <w:rPr>
          <w:sz w:val="24"/>
          <w:szCs w:val="24"/>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Normal"/>
        <w:shd w:val="clear" w:color="auto" w:fill="FFFFFF"/>
        <w:tabs>
          <w:tab w:val="clear" w:pos="708"/>
          <w:tab w:val="left" w:pos="0" w:leader="none"/>
        </w:tabs>
        <w:spacing w:lineRule="auto" w:line="276"/>
        <w:ind w:firstLine="709"/>
        <w:rPr/>
      </w:pPr>
      <w:r>
        <w:rPr>
          <w:sz w:val="24"/>
          <w:szCs w:val="24"/>
        </w:rPr>
        <w:t>Заказчик направляет Подрядчику уведомление о проведении сальдо взаимных обязательств Сторон по Договору.</w:t>
      </w:r>
    </w:p>
    <w:p>
      <w:pPr>
        <w:pStyle w:val="Normal"/>
        <w:shd w:val="clear" w:color="auto" w:fill="FFFFFF"/>
        <w:tabs>
          <w:tab w:val="clear" w:pos="708"/>
          <w:tab w:val="left" w:pos="1134" w:leader="none"/>
        </w:tabs>
        <w:spacing w:lineRule="auto" w:line="276"/>
        <w:ind w:firstLine="709"/>
        <w:rPr>
          <w:sz w:val="24"/>
          <w:szCs w:val="24"/>
          <w:highlight w:val="white"/>
        </w:rPr>
      </w:pPr>
      <w:r>
        <w:rPr>
          <w:sz w:val="24"/>
          <w:szCs w:val="24"/>
          <w:highlight w:val="white"/>
        </w:rPr>
        <w:t xml:space="preserve">3.6.  </w:t>
      </w:r>
      <w:r>
        <w:rPr>
          <w:bCs/>
          <w:sz w:val="24"/>
          <w:szCs w:val="24"/>
          <w:highlight w:val="white"/>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выставленного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течении 10 (десяти) календарных дней с даты фактического получения счета Заказчиком.</w:t>
      </w:r>
    </w:p>
    <w:p>
      <w:pPr>
        <w:pStyle w:val="Normal"/>
        <w:shd w:val="clear" w:color="auto" w:fill="FFFFFF"/>
        <w:tabs>
          <w:tab w:val="clear" w:pos="708"/>
          <w:tab w:val="left" w:pos="1134" w:leader="none"/>
        </w:tabs>
        <w:spacing w:lineRule="auto" w:line="276"/>
        <w:ind w:firstLine="709"/>
        <w:rPr>
          <w:sz w:val="24"/>
          <w:szCs w:val="24"/>
          <w:highlight w:val="white"/>
        </w:rPr>
      </w:pPr>
      <w:r>
        <w:rPr>
          <w:bCs/>
          <w:sz w:val="24"/>
          <w:szCs w:val="24"/>
          <w:highlight w:val="white"/>
        </w:rPr>
        <w:t xml:space="preserve">3.7. Цена договора должна быть выражена (номинирована) в рублях Российской Федерации. Расчёты по Договору осуществляются в валюте Российской Федерации. Оплата производится Заказчиком путём перечисления денежных средств на расчётный счёт Подрядчика, указанный в Договоре. Обязательства по оплате работ считаются выполненными с даты списания денежных средств с расчетного счета Общества. </w:t>
      </w:r>
    </w:p>
    <w:p>
      <w:pPr>
        <w:pStyle w:val="Normal"/>
        <w:shd w:val="clear" w:color="auto" w:fill="FFFFFF"/>
        <w:tabs>
          <w:tab w:val="clear" w:pos="708"/>
          <w:tab w:val="left" w:pos="1134" w:leader="none"/>
        </w:tabs>
        <w:spacing w:lineRule="auto" w:line="276"/>
        <w:ind w:firstLine="709"/>
        <w:rPr>
          <w:sz w:val="24"/>
          <w:szCs w:val="24"/>
          <w:highlight w:val="white"/>
        </w:rPr>
      </w:pPr>
      <w:r>
        <w:rPr>
          <w:sz w:val="24"/>
          <w:szCs w:val="24"/>
          <w:highlight w:val="white"/>
        </w:rPr>
        <w:t xml:space="preserve">3.8. </w:t>
      </w:r>
      <w:bookmarkStart w:id="7" w:name="_Ref361336647"/>
      <w:r>
        <w:rPr>
          <w:sz w:val="24"/>
          <w:szCs w:val="24"/>
          <w:highlight w:val="white"/>
        </w:rPr>
        <w:t>Стоимость работ на дату заключения договора, определена Заказчиком  с применением ресурсно-индексного метода согласно следующих ценовых показателей (критериев):</w:t>
      </w:r>
      <w:bookmarkEnd w:id="7"/>
    </w:p>
    <w:p>
      <w:pPr>
        <w:pStyle w:val="ListParagraph"/>
        <w:widowControl w:val="false"/>
        <w:numPr>
          <w:ilvl w:val="0"/>
          <w:numId w:val="24"/>
        </w:numPr>
        <w:tabs>
          <w:tab w:val="clear" w:pos="708"/>
          <w:tab w:val="left" w:pos="0" w:leader="none"/>
          <w:tab w:val="left" w:pos="992" w:leader="none"/>
        </w:tabs>
        <w:spacing w:lineRule="auto" w:line="276" w:before="0" w:after="0"/>
        <w:ind w:left="0" w:firstLine="709"/>
        <w:contextualSpacing w:val="false"/>
        <w:jc w:val="both"/>
        <w:rPr>
          <w:color w:val="000000" w:themeColor="text1"/>
          <w:spacing w:val="-6"/>
          <w:highlight w:val="white"/>
        </w:rPr>
      </w:pPr>
      <w:r>
        <w:rPr>
          <w:color w:val="000000" w:themeColor="text1"/>
          <w:spacing w:val="-6"/>
          <w:highlight w:val="white"/>
        </w:rPr>
        <w:t xml:space="preserve">сметная стоимость работ формируется по Сборникам ФСНБ редакции 2022 г. (изм.1-16); </w:t>
      </w:r>
    </w:p>
    <w:p>
      <w:pPr>
        <w:pStyle w:val="Heading1"/>
        <w:widowControl w:val="false"/>
        <w:shd w:val="clear" w:color="FFFFFF" w:fill="FFFFFF"/>
        <w:spacing w:lineRule="auto" w:line="276" w:before="0" w:after="0"/>
        <w:ind w:hanging="0"/>
        <w:rPr>
          <w:rFonts w:ascii="Times New Roman" w:hAnsi="Times New Roman"/>
          <w:b w:val="false"/>
          <w:bCs w:val="false"/>
          <w:color w:val="000000"/>
          <w:sz w:val="24"/>
          <w:szCs w:val="24"/>
          <w:highlight w:val="white"/>
        </w:rPr>
      </w:pPr>
      <w:r>
        <w:rPr>
          <w:rFonts w:ascii="Times New Roman" w:hAnsi="Times New Roman"/>
          <w:b w:val="false"/>
          <w:bCs w:val="false"/>
          <w:color w:val="000000" w:themeColor="text1"/>
          <w:spacing w:val="-6"/>
          <w:sz w:val="24"/>
          <w:szCs w:val="24"/>
          <w:highlight w:val="white"/>
        </w:rPr>
        <w:t xml:space="preserve">Индексы и сметные цены для ценовой зоны Хабаровский край (2 зона) на 2 квартал 2026 года, </w:t>
      </w:r>
      <w:r>
        <w:rPr>
          <w:rFonts w:ascii="Times New Roman" w:hAnsi="Times New Roman"/>
          <w:b w:val="false"/>
          <w:bCs w:val="false"/>
          <w:color w:val="000000"/>
          <w:sz w:val="24"/>
          <w:szCs w:val="24"/>
          <w:highlight w:val="white"/>
        </w:rPr>
        <w:t>письмо Минстроя России от 01.02.2025 № 5170-ИФ/09</w:t>
      </w:r>
    </w:p>
    <w:p>
      <w:pPr>
        <w:pStyle w:val="Heading1"/>
        <w:widowControl w:val="false"/>
        <w:numPr>
          <w:ilvl w:val="0"/>
          <w:numId w:val="26"/>
        </w:numPr>
        <w:shd w:val="clear" w:color="FFFFFF" w:fill="FFFFFF"/>
        <w:spacing w:lineRule="auto" w:line="276" w:before="0" w:after="0"/>
        <w:rPr>
          <w:rFonts w:ascii="Times New Roman" w:hAnsi="Times New Roman"/>
          <w:b w:val="false"/>
          <w:bCs w:val="false"/>
          <w:color w:val="000000"/>
          <w:sz w:val="24"/>
          <w:szCs w:val="24"/>
          <w:highlight w:val="white"/>
        </w:rPr>
      </w:pPr>
      <w:r>
        <w:rPr>
          <w:rFonts w:ascii="Times New Roman" w:hAnsi="Times New Roman"/>
          <w:b w:val="false"/>
          <w:bCs w:val="false"/>
          <w:color w:val="000000" w:themeColor="text1"/>
          <w:spacing w:val="-6"/>
          <w:sz w:val="24"/>
          <w:szCs w:val="24"/>
          <w:highlight w:val="white"/>
        </w:rPr>
        <w:t>нормативы сметной прибыли принимать на работы – 30% от ФОТ;</w:t>
      </w:r>
    </w:p>
    <w:p>
      <w:pPr>
        <w:pStyle w:val="Heading1"/>
        <w:widowControl w:val="false"/>
        <w:numPr>
          <w:ilvl w:val="0"/>
          <w:numId w:val="25"/>
        </w:numPr>
        <w:shd w:val="clear" w:color="FFFFFF" w:fill="FFFFFF"/>
        <w:spacing w:lineRule="auto" w:line="276" w:before="0" w:after="0"/>
        <w:rPr>
          <w:rFonts w:ascii="Times New Roman" w:hAnsi="Times New Roman"/>
          <w:b w:val="false"/>
          <w:bCs w:val="false"/>
          <w:color w:val="000000" w:themeColor="text1"/>
          <w:spacing w:val="-6"/>
          <w:sz w:val="24"/>
          <w:szCs w:val="24"/>
          <w:highlight w:val="white"/>
        </w:rPr>
      </w:pPr>
      <w:r>
        <w:rPr>
          <w:rFonts w:ascii="Times New Roman" w:hAnsi="Times New Roman"/>
          <w:b w:val="false"/>
          <w:bCs w:val="false"/>
          <w:sz w:val="24"/>
          <w:szCs w:val="24"/>
          <w:highlight w:val="white"/>
        </w:rPr>
        <w:t>непредвиденные затраты приняты – 3% от общей стоимости</w:t>
      </w:r>
      <w:r>
        <w:rPr>
          <w:rFonts w:ascii="Times New Roman" w:hAnsi="Times New Roman"/>
          <w:sz w:val="24"/>
          <w:szCs w:val="24"/>
          <w:highlight w:val="white"/>
        </w:rPr>
        <w:t>.</w:t>
      </w:r>
    </w:p>
    <w:p>
      <w:pPr>
        <w:pStyle w:val="Normal"/>
        <w:widowControl w:val="false"/>
        <w:tabs>
          <w:tab w:val="clear" w:pos="708"/>
          <w:tab w:val="left" w:pos="0" w:leader="none"/>
        </w:tabs>
        <w:spacing w:lineRule="auto" w:line="276"/>
        <w:ind w:hanging="0"/>
        <w:rPr>
          <w:color w:val="000000" w:themeColor="text1"/>
          <w:spacing w:val="-6"/>
          <w:sz w:val="24"/>
          <w:szCs w:val="24"/>
          <w:highlight w:val="white"/>
        </w:rPr>
      </w:pPr>
      <w:r>
        <w:rPr>
          <w:color w:val="000000" w:themeColor="text1"/>
          <w:spacing w:val="-6"/>
          <w:sz w:val="24"/>
          <w:szCs w:val="24"/>
          <w:highlight w:val="white"/>
        </w:rPr>
        <w:tab/>
        <w:t xml:space="preserve">3.9. На стадии закрытия актов выполненных работ резерв средств на непредвиденные затраты в процентах не оплачивается, так как предназначен для возмещения стоимости работ и затрат, потребность в которых может возникнуть в процессе производства работ, и подлежит оплате на основании акта на выполнение дополнительных работ, дополнительной сметы </w:t>
      </w:r>
      <w:r>
        <w:rPr>
          <w:sz w:val="24"/>
          <w:szCs w:val="24"/>
          <w:highlight w:val="white"/>
        </w:rPr>
        <w:t>утвержденных Заказчиком, в рамках Лимита на непредвиденные работы и затраты</w:t>
      </w:r>
      <w:r>
        <w:rPr>
          <w:color w:val="000000" w:themeColor="text1"/>
          <w:spacing w:val="-6"/>
          <w:sz w:val="24"/>
          <w:szCs w:val="24"/>
          <w:highlight w:val="white"/>
        </w:rPr>
        <w:t xml:space="preserve">, составленной по аналогии со Сводным сметным расчетом Договора подряда. </w:t>
      </w:r>
    </w:p>
    <w:p>
      <w:pPr>
        <w:pStyle w:val="Normal"/>
        <w:widowControl w:val="false"/>
        <w:tabs>
          <w:tab w:val="clear" w:pos="708"/>
          <w:tab w:val="left" w:pos="0" w:leader="none"/>
        </w:tabs>
        <w:spacing w:lineRule="auto" w:line="276"/>
        <w:ind w:firstLine="709"/>
        <w:rPr>
          <w:color w:val="000000" w:themeColor="text1"/>
          <w:spacing w:val="-6"/>
          <w:sz w:val="24"/>
          <w:szCs w:val="24"/>
          <w:highlight w:val="white"/>
        </w:rPr>
      </w:pPr>
      <w:r>
        <w:rPr>
          <w:color w:val="000000" w:themeColor="text1"/>
          <w:spacing w:val="-6"/>
          <w:sz w:val="24"/>
          <w:szCs w:val="24"/>
          <w:highlight w:val="white"/>
        </w:rPr>
        <w:t>3.10.  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сметных расчетов, в рамках Лимита на непредвиденные работы и затраты, предусмотренного утвержденным Локальным сметным расчетом (Приложение №2 к Договору). Приемка выполненного объема работ производится одновременно с Работами по Договору при подписании Сторонами Актов КС-2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КС-2 (Приложение №8 к Договору) и Справки КС-3 (Приложение №9 к Договору) на основании счета, выставленного Подрядчиком, и с учетом пункта 3.6. Стоимость непредвиденных работ и затрат включается в общую сумму Акта КС-2 (Приложение №8 к Договору), подписываемого Сторонами в соответствии с пунктом 4.1 Договора.</w:t>
      </w:r>
    </w:p>
    <w:p>
      <w:pPr>
        <w:pStyle w:val="Normal"/>
        <w:widowControl w:val="false"/>
        <w:tabs>
          <w:tab w:val="clear" w:pos="708"/>
          <w:tab w:val="left" w:pos="0" w:leader="none"/>
        </w:tabs>
        <w:spacing w:lineRule="auto" w:line="276"/>
        <w:ind w:hanging="0"/>
        <w:rPr>
          <w:color w:val="000000" w:themeColor="text1"/>
          <w:spacing w:val="-6"/>
          <w:sz w:val="24"/>
          <w:szCs w:val="24"/>
          <w:highlight w:val="white"/>
        </w:rPr>
      </w:pPr>
      <w:r>
        <w:rPr>
          <w:color w:val="000000" w:themeColor="text1"/>
          <w:spacing w:val="-6"/>
          <w:sz w:val="24"/>
          <w:szCs w:val="24"/>
          <w:highlight w:val="white"/>
        </w:rPr>
        <w:tab/>
        <w:t>3.11.</w:t>
        <w:tab/>
        <w:t>Материалы, учтенные в сметах по данным Заказчика  –  ПК «Ресурсная карта» и по текущим ценам, подлежат оплате на основании платёжных документов (счет-фактуры (УПД) накладная, платежное поручение банка и др.) по нормативному расходу. Материалы, учтённые в расценках по сборникам ФССЦ, подтверждать платёжными документами не требуется. Поставляемые материалы должны соответствовать спецификациям, указанным в нормативной документации, иметь соответствующие сертификаты, технические паспорта и другие документы, подтверждающие их качество.</w:t>
      </w:r>
    </w:p>
    <w:p>
      <w:pPr>
        <w:pStyle w:val="Normal"/>
        <w:widowControl w:val="false"/>
        <w:tabs>
          <w:tab w:val="clear" w:pos="708"/>
          <w:tab w:val="left" w:pos="0" w:leader="none"/>
        </w:tabs>
        <w:spacing w:lineRule="auto" w:line="276"/>
        <w:ind w:firstLine="709"/>
        <w:rPr>
          <w:highlight w:val="white"/>
        </w:rPr>
      </w:pPr>
      <w:r>
        <w:rPr>
          <w:sz w:val="24"/>
          <w:szCs w:val="24"/>
          <w:highlight w:val="white"/>
        </w:rPr>
        <w:t>3.12.</w:t>
        <w:tab/>
        <w:t xml:space="preserve"> В случае снижения заявленной стоимости путём ввода в сметы «понижающего коэффициента», учтённый в окончательной смете понижающий коэффициент обязателен к применению как в актах выполненных работ на стадии расчётов, так и в дополнительных сметах в случае их составления на стадии выполнения Договора подряда.</w:t>
      </w:r>
      <w:r>
        <w:rPr>
          <w:highlight w:val="white"/>
        </w:rPr>
        <w:t xml:space="preserve"> </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t>3.13.</w:t>
        <w:tab/>
        <w:t>Индексация Цены Договора не допускается.</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t>3.14. Затраты на командировочные расходы на стадии выполнения, определяются по фактическим затратам в пределах учтенной в смете величины, с учетом суточных в размере 500 рублей в сутки.</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t>Командировочные расходы включаются в стоимость Работ по Договору в соответствии с расчетом, прилагаемым к Локальному сметному расчету.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Работ по Договору.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r>
    </w:p>
    <w:p>
      <w:pPr>
        <w:pStyle w:val="ListParagraph"/>
        <w:shd w:val="clear" w:color="auto" w:fill="FFFFFF"/>
        <w:tabs>
          <w:tab w:val="clear" w:pos="708"/>
          <w:tab w:val="left" w:pos="0" w:leader="none"/>
        </w:tabs>
        <w:spacing w:lineRule="auto" w:line="276"/>
        <w:ind w:left="0" w:firstLine="709"/>
        <w:jc w:val="both"/>
        <w:rPr>
          <w:sz w:val="10"/>
          <w:szCs w:val="10"/>
        </w:rPr>
      </w:pPr>
      <w:r>
        <w:rPr>
          <w:sz w:val="10"/>
          <w:szCs w:val="10"/>
        </w:rPr>
      </w:r>
    </w:p>
    <w:p>
      <w:pPr>
        <w:pStyle w:val="Normal"/>
        <w:shd w:val="clear" w:color="auto" w:fill="FFFFFF"/>
        <w:tabs>
          <w:tab w:val="clear" w:pos="708"/>
          <w:tab w:val="left" w:pos="0" w:leader="none"/>
        </w:tabs>
        <w:ind w:left="709" w:hanging="0"/>
        <w:jc w:val="center"/>
        <w:rPr>
          <w:b/>
          <w:bCs/>
          <w:sz w:val="24"/>
          <w:szCs w:val="24"/>
        </w:rPr>
      </w:pPr>
      <w:r>
        <w:rPr>
          <w:b/>
          <w:bCs/>
          <w:sz w:val="24"/>
          <w:szCs w:val="24"/>
        </w:rPr>
        <w:t>4. Порядок сдачи-приемки Работ</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После завершения Работ Подрядчик предоставляет Заказчику,</w:t>
      </w:r>
      <w:r>
        <w:rPr/>
        <w:t xml:space="preserve">  подписанные со своей стороны в полном объеме необходимую для приемки Работ приемо-сдаточную и исполнительную документацию:</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акт о приёмке выполненных работ по форме КС-2 (Приложение №8 к Договору) в 3-х экземплярах;</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справку о стоимости выполненных работ и затрат по форме КС-3 (Приложение №9 к Договору) в 3-х экземплярах</w:t>
      </w:r>
      <w:r>
        <w:rPr/>
        <w:t>;</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комплект исполнительной документации;</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Акт ОС-3 в 2-х экземплярах (Приложение №10 к Договору).</w:t>
      </w:r>
    </w:p>
    <w:p>
      <w:pPr>
        <w:pStyle w:val="Normal"/>
        <w:tabs>
          <w:tab w:val="clear" w:pos="708"/>
          <w:tab w:val="left" w:pos="0" w:leader="none"/>
        </w:tabs>
        <w:spacing w:lineRule="auto" w:line="276"/>
        <w:ind w:hanging="0"/>
        <w:rPr>
          <w:spacing w:val="2"/>
          <w:sz w:val="24"/>
          <w:szCs w:val="24"/>
        </w:rPr>
      </w:pPr>
      <w:r>
        <w:rPr>
          <w:spacing w:val="2"/>
          <w:sz w:val="24"/>
          <w:szCs w:val="24"/>
        </w:rPr>
        <w:tab/>
        <w:t>И</w:t>
      </w:r>
      <w:r>
        <w:rPr>
          <w:sz w:val="24"/>
          <w:szCs w:val="24"/>
        </w:rPr>
        <w:t xml:space="preserve">сполнительная документация должна обеспечивать достоверность и полноту сведений о фактически выполненных Работах. </w:t>
      </w:r>
      <w:r>
        <w:rPr>
          <w:spacing w:val="2"/>
          <w:sz w:val="24"/>
          <w:szCs w:val="24"/>
        </w:rPr>
        <w:t>Указанные документы подписываются уполномоченным представителем Подрядчика и скрепляются печатью Подрядчика (если иное не предусмотрено законодательством РФ).</w:t>
      </w:r>
    </w:p>
    <w:p>
      <w:pPr>
        <w:pStyle w:val="Normal"/>
        <w:shd w:val="clear" w:color="auto" w:fill="FFFFFF"/>
        <w:tabs>
          <w:tab w:val="clear" w:pos="708"/>
          <w:tab w:val="left" w:pos="0" w:leader="none"/>
        </w:tabs>
        <w:spacing w:lineRule="auto" w:line="276"/>
        <w:ind w:firstLine="709"/>
        <w:rPr/>
      </w:pPr>
      <w:r>
        <w:rPr>
          <w:spacing w:val="2"/>
          <w:sz w:val="24"/>
          <w:szCs w:val="24"/>
        </w:rPr>
        <w:t>Непредставление Подрядчиком документов, указанных в настоящем пункте, расценивается Сторонами как нарушение порядка приёмки работ и является основанием для отказа Заказчика от приёмки выполненных работ</w:t>
      </w:r>
      <w:r>
        <w:rPr/>
        <w:t>.</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и/или дефекты Работ, а также срок на их устранение. </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По результатам приемки выполненных работ Подрядчик обязан подписать акты ОС-3, сформированные Заказчиком и вернуть Заказчику в течение 3-х (трех) календарных дней.</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4.1- 4.3 Договора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Если Подрядчик не устранит недостатки, несоответствия и/или дефекты Работ в срок, установленный Заказчиком в соответствии с пунктом 4.4. Договора, Заказчик вправе собственными силами и/или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Подрядчик обязан представить заказчику счет-фактуру (УПД),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счет-фактуры (УПД) в течение 3 (трех) рабочих дней с даты получения соответствующего письменного требования Заказчика.</w:t>
      </w:r>
    </w:p>
    <w:p>
      <w:pPr>
        <w:pStyle w:val="Normal"/>
        <w:shd w:val="clear" w:color="auto" w:fill="FFFFFF"/>
        <w:tabs>
          <w:tab w:val="clear" w:pos="708"/>
          <w:tab w:val="left" w:pos="0" w:leader="none"/>
        </w:tabs>
        <w:ind w:left="450" w:hanging="0"/>
        <w:rPr>
          <w:sz w:val="24"/>
          <w:szCs w:val="24"/>
        </w:rPr>
      </w:pPr>
      <w:r>
        <w:rPr>
          <w:sz w:val="24"/>
          <w:szCs w:val="24"/>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Право собственности и переход рисков</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bookmarkStart w:id="8" w:name="_Ref361405028"/>
      <w:r>
        <w:rPr/>
        <w:t>Р</w:t>
      </w:r>
      <w:bookmarkEnd w:id="8"/>
      <w:r>
        <w:rPr/>
        <w:t>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КС-2 ( Приложение №8 к договору) по Объекту.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Normal"/>
        <w:widowControl w:val="false"/>
        <w:shd w:val="clear" w:color="auto" w:fill="FFFFFF"/>
        <w:tabs>
          <w:tab w:val="clear" w:pos="708"/>
          <w:tab w:val="left" w:pos="0" w:leader="none"/>
        </w:tabs>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Ответственность Сторон</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9"/>
        </w:numPr>
        <w:tabs>
          <w:tab w:val="clear" w:pos="708"/>
          <w:tab w:val="left" w:pos="0" w:leader="none"/>
        </w:tabs>
        <w:spacing w:lineRule="auto" w:line="276"/>
        <w:ind w:left="0" w:firstLine="709"/>
        <w:rPr>
          <w:sz w:val="24"/>
          <w:szCs w:val="24"/>
        </w:rPr>
      </w:pPr>
      <w:r>
        <w:rPr>
          <w:sz w:val="24"/>
          <w:szCs w:val="24"/>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w:t>
      </w:r>
    </w:p>
    <w:p>
      <w:pPr>
        <w:pStyle w:val="Normal"/>
        <w:numPr>
          <w:ilvl w:val="1"/>
          <w:numId w:val="9"/>
        </w:numPr>
        <w:tabs>
          <w:tab w:val="clear" w:pos="708"/>
          <w:tab w:val="left" w:pos="0" w:leader="none"/>
        </w:tabs>
        <w:spacing w:lineRule="auto" w:line="276"/>
        <w:ind w:left="0" w:firstLine="709"/>
        <w:rPr>
          <w:sz w:val="24"/>
          <w:szCs w:val="24"/>
        </w:rPr>
      </w:pPr>
      <w:r>
        <w:rPr>
          <w:sz w:val="24"/>
          <w:szCs w:val="24"/>
        </w:rPr>
        <w:t xml:space="preserve">В случае нарушения Подрядчиком обязательств по выполнению Работ, </w:t>
      </w:r>
      <w:r>
        <w:rPr>
          <w:bCs/>
          <w:sz w:val="24"/>
          <w:highlight w:val="white"/>
        </w:rPr>
        <w:t xml:space="preserve">в том числе срока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w:t>
      </w:r>
      <w:r>
        <w:rPr>
          <w:bCs/>
          <w:sz w:val="24"/>
          <w:szCs w:val="24"/>
          <w:highlight w:val="white"/>
        </w:rPr>
        <w:t>целых одна десятая) процента от цены договора за каждый день просрочки.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требовать уплаты Подрядчиком штрафа в размерах, установленных Приложением № 4 к Договору.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9"/>
        </w:numPr>
        <w:shd w:val="clear" w:color="auto" w:fill="FFFFFF"/>
        <w:tabs>
          <w:tab w:val="clear" w:pos="708"/>
          <w:tab w:val="left" w:pos="0" w:leader="none"/>
        </w:tabs>
        <w:spacing w:lineRule="auto" w:line="276"/>
        <w:ind w:left="0" w:firstLine="709"/>
        <w:jc w:val="both"/>
        <w:rPr/>
      </w:pPr>
      <w:r>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pPr>
        <w:pStyle w:val="ListParagraph"/>
        <w:numPr>
          <w:ilvl w:val="1"/>
          <w:numId w:val="9"/>
        </w:numPr>
        <w:shd w:val="clear" w:color="auto" w:fill="FFFFFF"/>
        <w:tabs>
          <w:tab w:val="clear" w:pos="708"/>
          <w:tab w:val="left" w:pos="0" w:leader="none"/>
        </w:tabs>
        <w:spacing w:lineRule="auto" w:line="276"/>
        <w:ind w:left="0" w:firstLine="709"/>
        <w:jc w:val="both"/>
        <w:rPr/>
      </w:pPr>
      <w: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9"/>
        </w:numPr>
        <w:shd w:val="clear" w:color="auto" w:fill="FFFFFF"/>
        <w:tabs>
          <w:tab w:val="clear" w:pos="708"/>
          <w:tab w:val="left" w:pos="0" w:leader="none"/>
        </w:tabs>
        <w:spacing w:lineRule="auto" w:line="276"/>
        <w:ind w:left="0" w:firstLine="709"/>
        <w:jc w:val="both"/>
        <w:rPr/>
      </w:pPr>
      <w:r>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9"/>
        </w:numPr>
        <w:shd w:val="clear" w:color="auto" w:fill="FFFFFF"/>
        <w:tabs>
          <w:tab w:val="clear" w:pos="708"/>
          <w:tab w:val="left" w:pos="0" w:leader="none"/>
        </w:tabs>
        <w:spacing w:lineRule="auto" w:line="276"/>
        <w:ind w:left="0" w:firstLine="709"/>
        <w:jc w:val="both"/>
        <w:rPr/>
      </w:pPr>
      <w:r>
        <w:rPr>
          <w:rFonts w:eastAsia="Calibri"/>
        </w:rPr>
        <w:t xml:space="preserve">В случае нарушения Подрядчиком обязательств по выполнению работ, на срок свыше 60 (шестидесяти) календарных дней, Заказчик имеет право </w:t>
      </w:r>
      <w:r>
        <w:rPr/>
        <w:t xml:space="preserve">расторгнуть Договор в одностороннем внесудебном порядке, а также потребовать возмещения убытков. </w:t>
      </w:r>
      <w:r>
        <w:rPr>
          <w:sz w:val="24"/>
          <w:szCs w:val="24"/>
        </w:rPr>
        <w:t>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pPr>
        <w:pStyle w:val="ListParagraph"/>
        <w:numPr>
          <w:ilvl w:val="1"/>
          <w:numId w:val="9"/>
        </w:numPr>
        <w:shd w:val="clear" w:color="auto" w:fill="FFFFFF"/>
        <w:tabs>
          <w:tab w:val="clear" w:pos="708"/>
          <w:tab w:val="left" w:pos="0" w:leader="none"/>
        </w:tabs>
        <w:spacing w:lineRule="auto" w:line="276"/>
        <w:ind w:left="0" w:firstLine="709"/>
        <w:jc w:val="both"/>
        <w:rPr>
          <w:color w:val="FF0000"/>
        </w:rPr>
      </w:pPr>
      <w:r>
        <w:rPr/>
        <w:t xml:space="preserve">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w:t>
      </w:r>
      <w:r>
        <w:rPr>
          <w:color w:val="000000"/>
          <w:highlight w:val="white"/>
        </w:rPr>
        <w:t>В случае нарушения Подрядчиком сроков, предусмотренных пунктом 4.8. Договора, Заказчик также имеет право требовать от Подрядчика уплаты штрафа в размере 50 000 (пятидесяти тысяч) рублей за каждый случай нарушения</w:t>
      </w:r>
      <w:r>
        <w:rPr/>
        <w:t>.</w:t>
      </w:r>
    </w:p>
    <w:p>
      <w:pPr>
        <w:pStyle w:val="Normal"/>
        <w:shd w:val="clear" w:color="auto" w:fill="FFFFFF"/>
        <w:tabs>
          <w:tab w:val="clear" w:pos="708"/>
          <w:tab w:val="left" w:pos="0" w:leader="none"/>
        </w:tabs>
        <w:spacing w:lineRule="auto" w:line="276"/>
        <w:ind w:left="450" w:hanging="0"/>
        <w:rPr>
          <w:color w:val="FF0000"/>
          <w:sz w:val="24"/>
          <w:szCs w:val="24"/>
        </w:rPr>
      </w:pPr>
      <w:r>
        <w:rPr>
          <w:color w:val="FF0000"/>
          <w:sz w:val="24"/>
          <w:szCs w:val="24"/>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Гарантии качества Результата Работ</w:t>
      </w:r>
    </w:p>
    <w:p>
      <w:pPr>
        <w:pStyle w:val="ListParagraph"/>
        <w:numPr>
          <w:ilvl w:val="1"/>
          <w:numId w:val="9"/>
        </w:numPr>
        <w:tabs>
          <w:tab w:val="clear" w:pos="708"/>
          <w:tab w:val="left" w:pos="0" w:leader="none"/>
        </w:tabs>
        <w:spacing w:lineRule="auto" w:line="276"/>
        <w:ind w:left="0" w:firstLine="709"/>
        <w:jc w:val="both"/>
        <w:rPr/>
      </w:pPr>
      <w:bookmarkStart w:id="9" w:name="_Ref361337777"/>
      <w:r>
        <w:rPr/>
        <w:t xml:space="preserve"> </w:t>
      </w:r>
      <w:r>
        <w:rPr/>
        <w:t xml:space="preserve">Гарантийный срок по Договору составляет 24 (двадцать четыре) месяца и начинается с даты подписания Сторонами последнего Акта КС-2 (Приложение №9 к Договору) </w:t>
      </w:r>
      <w:bookmarkEnd w:id="9"/>
      <w:r>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Гарантийные обязательства Подрядчика наступают с даты подписания Акта КС-2 (Приложение №9 к Договору)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0" w:name="_Ref361337764"/>
      <w:r>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0"/>
      <w:r>
        <w:rPr/>
        <w:t xml:space="preserve">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Наличие и полный перечень недостатков, 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Подрядчик обязан своими силами и за свой счет устранить недостатки, несоответствия и/или дефекты, обнаруженные Заказчиком в течение Гарантийного срока, в срок, указанный в </w:t>
      </w:r>
      <w:bookmarkStart w:id="11" w:name="OLE_LINK6"/>
      <w:bookmarkStart w:id="12" w:name="OLE_LINK5"/>
      <w:r>
        <w:rPr/>
        <w:t>Акте о недостатках, составленном в порядке, установленном пунктом 7.5. Договора</w:t>
      </w:r>
      <w:bookmarkEnd w:id="11"/>
      <w:bookmarkEnd w:id="12"/>
      <w:r>
        <w:rPr/>
        <w:t xml:space="preserve">. </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Normal"/>
        <w:shd w:val="clear" w:color="auto" w:fill="FFFFFF"/>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Конфиденциальность</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ремонтную площадку,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14"/>
        </w:numPr>
        <w:tabs>
          <w:tab w:val="clear" w:pos="708"/>
          <w:tab w:val="left" w:pos="0" w:leader="none"/>
          <w:tab w:val="left" w:pos="992" w:leader="none"/>
        </w:tabs>
        <w:spacing w:lineRule="auto" w:line="276"/>
        <w:ind w:left="0" w:firstLine="709"/>
        <w:jc w:val="both"/>
        <w:rPr/>
      </w:pPr>
      <w:r>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14"/>
        </w:numPr>
        <w:tabs>
          <w:tab w:val="clear" w:pos="708"/>
          <w:tab w:val="left" w:pos="0" w:leader="none"/>
          <w:tab w:val="left" w:pos="992" w:leader="none"/>
        </w:tabs>
        <w:spacing w:lineRule="auto" w:line="276"/>
        <w:ind w:left="0" w:firstLine="709"/>
        <w:jc w:val="both"/>
        <w:rPr/>
      </w:pPr>
      <w:r>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9"/>
        </w:numPr>
        <w:shd w:val="clear" w:color="auto" w:fill="FFFFFF"/>
        <w:tabs>
          <w:tab w:val="clear" w:pos="708"/>
          <w:tab w:val="left" w:pos="0" w:leader="none"/>
        </w:tabs>
        <w:spacing w:lineRule="auto" w:line="276"/>
        <w:ind w:left="0" w:firstLine="709"/>
        <w:jc w:val="both"/>
        <w:rPr/>
      </w:pPr>
      <w: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Информация может включать в себя, в том числе, но не ограничиваясь:</w:t>
      </w:r>
    </w:p>
    <w:p>
      <w:pPr>
        <w:pStyle w:val="ListParagraph"/>
        <w:numPr>
          <w:ilvl w:val="0"/>
          <w:numId w:val="15"/>
        </w:numPr>
        <w:tabs>
          <w:tab w:val="clear" w:pos="708"/>
          <w:tab w:val="left" w:pos="0" w:leader="none"/>
          <w:tab w:val="left" w:pos="992" w:leader="none"/>
        </w:tabs>
        <w:spacing w:lineRule="auto" w:line="276"/>
        <w:ind w:left="0" w:firstLine="709"/>
        <w:jc w:val="both"/>
        <w:rPr/>
      </w:pPr>
      <w:r>
        <w:rPr/>
        <w:t xml:space="preserve">финансовую </w:t>
      </w:r>
      <w:r>
        <w:rPr>
          <w:lang w:val="en-US"/>
        </w:rPr>
        <w:t>(</w:t>
      </w:r>
      <w:r>
        <w:rPr/>
        <w:t>бухгалтерскую) отчетность;</w:t>
      </w:r>
    </w:p>
    <w:p>
      <w:pPr>
        <w:pStyle w:val="ListParagraph"/>
        <w:numPr>
          <w:ilvl w:val="0"/>
          <w:numId w:val="15"/>
        </w:numPr>
        <w:tabs>
          <w:tab w:val="clear" w:pos="708"/>
          <w:tab w:val="left" w:pos="0" w:leader="none"/>
          <w:tab w:val="left" w:pos="992" w:leader="none"/>
        </w:tabs>
        <w:spacing w:lineRule="auto" w:line="276"/>
        <w:ind w:left="0" w:firstLine="709"/>
        <w:jc w:val="both"/>
        <w:rPr/>
      </w:pPr>
      <w:r>
        <w:rPr/>
        <w:t>учетные регистры бухгалтерского учета;</w:t>
      </w:r>
    </w:p>
    <w:p>
      <w:pPr>
        <w:pStyle w:val="ListParagraph"/>
        <w:numPr>
          <w:ilvl w:val="0"/>
          <w:numId w:val="15"/>
        </w:numPr>
        <w:tabs>
          <w:tab w:val="clear" w:pos="708"/>
          <w:tab w:val="left" w:pos="0" w:leader="none"/>
          <w:tab w:val="left" w:pos="992" w:leader="none"/>
        </w:tabs>
        <w:spacing w:lineRule="auto" w:line="276"/>
        <w:ind w:left="0" w:firstLine="709"/>
        <w:jc w:val="both"/>
        <w:rPr/>
      </w:pPr>
      <w:r>
        <w:rPr/>
        <w:t>бизнес – планы;</w:t>
      </w:r>
    </w:p>
    <w:p>
      <w:pPr>
        <w:pStyle w:val="ListParagraph"/>
        <w:numPr>
          <w:ilvl w:val="0"/>
          <w:numId w:val="15"/>
        </w:numPr>
        <w:tabs>
          <w:tab w:val="clear" w:pos="708"/>
          <w:tab w:val="left" w:pos="0" w:leader="none"/>
          <w:tab w:val="left" w:pos="992" w:leader="none"/>
        </w:tabs>
        <w:spacing w:lineRule="auto" w:line="276"/>
        <w:ind w:left="0" w:firstLine="709"/>
        <w:jc w:val="both"/>
        <w:rPr/>
      </w:pPr>
      <w: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об объемах производства и / или реализации продукции и услуг Заказчика или его аффилированных лиц;</w:t>
      </w:r>
    </w:p>
    <w:p>
      <w:pPr>
        <w:pStyle w:val="ListParagraph"/>
        <w:numPr>
          <w:ilvl w:val="0"/>
          <w:numId w:val="15"/>
        </w:numPr>
        <w:tabs>
          <w:tab w:val="clear" w:pos="708"/>
          <w:tab w:val="left" w:pos="0" w:leader="none"/>
          <w:tab w:val="left" w:pos="992" w:leader="none"/>
        </w:tabs>
        <w:spacing w:lineRule="auto" w:line="276"/>
        <w:ind w:left="0" w:firstLine="709"/>
        <w:jc w:val="both"/>
        <w:rPr/>
      </w:pPr>
      <w:r>
        <w:rPr/>
        <w:t>материалы обобщения, анализа, оценки, иных действий по обработке вышеуказанной Информации и документов.</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3" w:name="_Ref361337849"/>
      <w: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13"/>
      <w:r>
        <w:rPr/>
        <w:t xml:space="preserve"> </w:t>
      </w:r>
    </w:p>
    <w:p>
      <w:pPr>
        <w:pStyle w:val="ListParagraph"/>
        <w:numPr>
          <w:ilvl w:val="2"/>
          <w:numId w:val="9"/>
        </w:numPr>
        <w:shd w:val="clear" w:color="auto" w:fill="FFFFFF"/>
        <w:tabs>
          <w:tab w:val="clear" w:pos="708"/>
          <w:tab w:val="left" w:pos="0" w:leader="none"/>
        </w:tabs>
        <w:spacing w:lineRule="auto" w:line="276"/>
        <w:ind w:left="0" w:firstLine="709"/>
        <w:jc w:val="both"/>
        <w:rPr/>
      </w:pPr>
      <w: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9"/>
        </w:numPr>
        <w:shd w:val="clear" w:color="auto" w:fill="FFFFFF"/>
        <w:tabs>
          <w:tab w:val="clear" w:pos="708"/>
          <w:tab w:val="left" w:pos="0" w:leader="none"/>
        </w:tabs>
        <w:spacing w:lineRule="auto" w:line="276"/>
        <w:ind w:left="0" w:firstLine="709"/>
        <w:jc w:val="both"/>
        <w:rPr/>
      </w:pPr>
      <w:r>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9"/>
        </w:numPr>
        <w:shd w:val="clear" w:color="auto" w:fill="FFFFFF"/>
        <w:tabs>
          <w:tab w:val="clear" w:pos="708"/>
          <w:tab w:val="left" w:pos="0" w:leader="none"/>
        </w:tabs>
        <w:spacing w:lineRule="auto" w:line="276"/>
        <w:ind w:left="0" w:firstLine="709"/>
        <w:jc w:val="both"/>
        <w:rPr/>
      </w:pPr>
      <w:r>
        <w:rPr/>
        <w:t xml:space="preserve">использовать Информацию исключительно для целей, для которых она была предоставлена; </w:t>
      </w:r>
    </w:p>
    <w:p>
      <w:pPr>
        <w:pStyle w:val="ListParagraph"/>
        <w:numPr>
          <w:ilvl w:val="2"/>
          <w:numId w:val="9"/>
        </w:numPr>
        <w:shd w:val="clear" w:color="auto" w:fill="FFFFFF"/>
        <w:tabs>
          <w:tab w:val="clear" w:pos="708"/>
          <w:tab w:val="left" w:pos="0" w:leader="none"/>
        </w:tabs>
        <w:spacing w:lineRule="auto" w:line="276"/>
        <w:ind w:left="0" w:firstLine="709"/>
        <w:jc w:val="both"/>
        <w:rPr/>
      </w:pPr>
      <w: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9"/>
        </w:numPr>
        <w:shd w:val="clear" w:color="auto" w:fill="FFFFFF"/>
        <w:tabs>
          <w:tab w:val="clear" w:pos="708"/>
          <w:tab w:val="left" w:pos="0" w:leader="none"/>
        </w:tabs>
        <w:spacing w:lineRule="auto" w:line="276"/>
        <w:ind w:left="0" w:firstLine="709"/>
        <w:jc w:val="both"/>
        <w:rPr/>
      </w:pPr>
      <w: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9"/>
        </w:numPr>
        <w:shd w:val="clear" w:color="auto" w:fill="FFFFFF"/>
        <w:tabs>
          <w:tab w:val="clear" w:pos="708"/>
          <w:tab w:val="left" w:pos="0" w:leader="none"/>
        </w:tabs>
        <w:spacing w:lineRule="auto" w:line="276"/>
        <w:ind w:left="0" w:firstLine="709"/>
        <w:jc w:val="both"/>
        <w:rPr/>
      </w:pPr>
      <w: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9"/>
        </w:numPr>
        <w:shd w:val="clear" w:color="auto" w:fill="FFFFFF"/>
        <w:tabs>
          <w:tab w:val="clear" w:pos="708"/>
          <w:tab w:val="left" w:pos="0" w:leader="none"/>
        </w:tabs>
        <w:spacing w:lineRule="auto" w:line="276"/>
        <w:ind w:left="0" w:firstLine="709"/>
        <w:jc w:val="both"/>
        <w:rPr/>
      </w:pPr>
      <w:bookmarkStart w:id="14" w:name="_Ref361337832"/>
      <w: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4"/>
    </w:p>
    <w:p>
      <w:pPr>
        <w:pStyle w:val="ListParagraph"/>
        <w:numPr>
          <w:ilvl w:val="2"/>
          <w:numId w:val="9"/>
        </w:numPr>
        <w:shd w:val="clear" w:color="auto" w:fill="FFFFFF"/>
        <w:tabs>
          <w:tab w:val="clear" w:pos="708"/>
          <w:tab w:val="left" w:pos="0" w:leader="none"/>
        </w:tabs>
        <w:spacing w:lineRule="auto" w:line="276"/>
        <w:ind w:left="0" w:firstLine="709"/>
        <w:jc w:val="both"/>
        <w:rPr/>
      </w:pPr>
      <w:r>
        <w:rPr/>
        <w:t>не разглашать третьим лицам факты передачи или получения Информации.</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5" w:name="_Ref361337863"/>
      <w:r>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pPr>
        <w:pStyle w:val="ListParagraph"/>
        <w:numPr>
          <w:ilvl w:val="1"/>
          <w:numId w:val="9"/>
        </w:numPr>
        <w:shd w:val="clear" w:color="auto" w:fill="FFFFFF"/>
        <w:tabs>
          <w:tab w:val="clear" w:pos="708"/>
          <w:tab w:val="left" w:pos="0" w:leader="none"/>
        </w:tabs>
        <w:spacing w:lineRule="auto" w:line="276"/>
        <w:ind w:left="0" w:firstLine="709"/>
        <w:jc w:val="both"/>
        <w:rPr/>
      </w:pPr>
      <w:r>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pPr>
      <w:r>
        <w:rPr>
          <w:b/>
          <w:bCs/>
        </w:rPr>
        <w:t>Антикоррупционная оговорка</w:t>
      </w:r>
    </w:p>
    <w:p>
      <w:pPr>
        <w:pStyle w:val="ListParagraph"/>
        <w:numPr>
          <w:ilvl w:val="1"/>
          <w:numId w:val="9"/>
        </w:numPr>
        <w:tabs>
          <w:tab w:val="clear" w:pos="708"/>
          <w:tab w:val="left" w:pos="0" w:leader="none"/>
        </w:tabs>
        <w:spacing w:lineRule="auto" w:line="276"/>
        <w:ind w:left="0" w:firstLine="709"/>
        <w:jc w:val="both"/>
        <w:rPr/>
      </w:pPr>
      <w:r>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представителем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9"/>
        </w:numPr>
        <w:tabs>
          <w:tab w:val="clear" w:pos="708"/>
          <w:tab w:val="left" w:pos="0" w:leader="none"/>
        </w:tabs>
        <w:spacing w:lineRule="auto" w:line="276"/>
        <w:ind w:left="0" w:firstLine="709"/>
        <w:jc w:val="both"/>
        <w:rPr/>
      </w:pPr>
      <w:r>
        <w:rPr/>
        <w:t xml:space="preserve"> </w:t>
      </w:r>
      <w:r>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9"/>
        </w:numPr>
        <w:tabs>
          <w:tab w:val="clear" w:pos="708"/>
          <w:tab w:val="left" w:pos="0" w:leader="none"/>
        </w:tabs>
        <w:spacing w:lineRule="auto" w:line="276"/>
        <w:ind w:left="0" w:firstLine="709"/>
        <w:jc w:val="both"/>
        <w:rPr/>
      </w:pPr>
      <w: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9"/>
        </w:numPr>
        <w:tabs>
          <w:tab w:val="clear" w:pos="708"/>
          <w:tab w:val="left" w:pos="0" w:leader="none"/>
        </w:tabs>
        <w:spacing w:lineRule="auto" w:line="276"/>
        <w:ind w:left="0" w:firstLine="709"/>
        <w:jc w:val="both"/>
        <w:rPr/>
      </w:pPr>
      <w: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9"/>
        </w:numPr>
        <w:tabs>
          <w:tab w:val="clear" w:pos="708"/>
          <w:tab w:val="left" w:pos="0" w:leader="none"/>
        </w:tabs>
        <w:spacing w:lineRule="auto" w:line="276"/>
        <w:ind w:left="0" w:firstLine="709"/>
        <w:jc w:val="both"/>
        <w:rPr/>
      </w:pPr>
      <w:r>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нарушения.</w:t>
      </w:r>
    </w:p>
    <w:p>
      <w:pPr>
        <w:pStyle w:val="ListParagraph"/>
        <w:numPr>
          <w:ilvl w:val="1"/>
          <w:numId w:val="9"/>
        </w:numPr>
        <w:tabs>
          <w:tab w:val="clear" w:pos="708"/>
          <w:tab w:val="left" w:pos="0" w:leader="none"/>
        </w:tabs>
        <w:spacing w:lineRule="auto" w:line="276"/>
        <w:ind w:left="0" w:firstLine="709"/>
        <w:jc w:val="both"/>
        <w:rPr/>
      </w:pPr>
      <w:r>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9"/>
        </w:numPr>
        <w:tabs>
          <w:tab w:val="clear" w:pos="708"/>
          <w:tab w:val="left" w:pos="0" w:leader="none"/>
        </w:tabs>
        <w:spacing w:lineRule="auto" w:line="276"/>
        <w:ind w:left="0" w:firstLine="709"/>
        <w:jc w:val="both"/>
        <w:rPr/>
      </w:pPr>
      <w:r>
        <w:rPr/>
        <w:t xml:space="preserve">Каналы связи Линия доверия Группы РусГидро: </w:t>
      </w:r>
    </w:p>
    <w:p>
      <w:pPr>
        <w:pStyle w:val="ListParagraph"/>
        <w:numPr>
          <w:ilvl w:val="2"/>
          <w:numId w:val="9"/>
        </w:numPr>
        <w:tabs>
          <w:tab w:val="clear" w:pos="708"/>
          <w:tab w:val="left" w:pos="0" w:leader="none"/>
        </w:tabs>
        <w:spacing w:lineRule="auto" w:line="276"/>
        <w:ind w:left="0" w:firstLine="709"/>
        <w:jc w:val="both"/>
        <w:rPr/>
      </w:pPr>
      <w:r>
        <w:rPr/>
        <w:t xml:space="preserve">Электронная почта: </w:t>
      </w:r>
      <w:hyperlink r:id="rId4" w:tgtFrame="mailto:ld@rushydro.ru">
        <w:r>
          <w:rPr>
            <w:rStyle w:val="Hyperlink"/>
            <w:color w:val="auto"/>
          </w:rPr>
          <w:t>ld@rushydro.ru</w:t>
        </w:r>
      </w:hyperlink>
      <w:r>
        <w:rPr/>
        <w:t>;</w:t>
      </w:r>
    </w:p>
    <w:p>
      <w:pPr>
        <w:pStyle w:val="ListParagraph"/>
        <w:numPr>
          <w:ilvl w:val="2"/>
          <w:numId w:val="9"/>
        </w:numPr>
        <w:tabs>
          <w:tab w:val="clear" w:pos="708"/>
          <w:tab w:val="left" w:pos="0" w:leader="none"/>
        </w:tabs>
        <w:spacing w:lineRule="auto" w:line="276"/>
        <w:ind w:left="0" w:firstLine="709"/>
        <w:jc w:val="both"/>
        <w:rPr/>
      </w:pPr>
      <w:r>
        <w:rPr/>
        <w:t xml:space="preserve">Специальная форма «обратной связи», размещенная на официальном сайте в сети интернет: </w:t>
      </w:r>
      <w:hyperlink r:id="rId5" w:tgtFrame="http://www.rushydro.ru/">
        <w:r>
          <w:rPr>
            <w:rStyle w:val="Hyperlink"/>
            <w:color w:val="auto"/>
          </w:rPr>
          <w:t>http://www.rushydro.ru/</w:t>
        </w:r>
      </w:hyperlink>
      <w:r>
        <w:rPr/>
        <w:t xml:space="preserve"> (далее перейти по ссылке «Линия доверия» и заполнить поля специальной формы «обратной связи»);</w:t>
      </w:r>
    </w:p>
    <w:p>
      <w:pPr>
        <w:pStyle w:val="ListParagraph"/>
        <w:numPr>
          <w:ilvl w:val="2"/>
          <w:numId w:val="9"/>
        </w:numPr>
        <w:tabs>
          <w:tab w:val="clear" w:pos="708"/>
          <w:tab w:val="left" w:pos="0" w:leader="none"/>
        </w:tabs>
        <w:spacing w:lineRule="auto" w:line="276"/>
        <w:ind w:left="0" w:firstLine="709"/>
        <w:jc w:val="both"/>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0" w:leader="none"/>
        </w:tabs>
        <w:spacing w:lineRule="auto" w:line="276"/>
        <w:ind w:left="709" w:hanging="0"/>
        <w:jc w:val="both"/>
        <w:rPr/>
      </w:pPr>
      <w:r>
        <w:rPr/>
      </w:r>
    </w:p>
    <w:p>
      <w:pPr>
        <w:pStyle w:val="Normal"/>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Обстоятельства непреодолимой силы (форс-мажор)</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9"/>
        </w:numPr>
        <w:shd w:val="clear" w:color="auto" w:fill="FFFFFF"/>
        <w:tabs>
          <w:tab w:val="clear" w:pos="708"/>
          <w:tab w:val="left" w:pos="0" w:leader="none"/>
        </w:tabs>
        <w:spacing w:lineRule="auto" w:line="276"/>
        <w:ind w:left="0" w:firstLine="709"/>
        <w:jc w:val="both"/>
        <w:rPr/>
      </w:pPr>
      <w: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9"/>
        </w:numPr>
        <w:shd w:val="clear" w:color="auto" w:fill="FFFFFF"/>
        <w:tabs>
          <w:tab w:val="clear" w:pos="708"/>
          <w:tab w:val="left" w:pos="0" w:leader="none"/>
        </w:tabs>
        <w:spacing w:lineRule="auto" w:line="276"/>
        <w:ind w:left="0" w:firstLine="709"/>
        <w:jc w:val="both"/>
        <w:rPr/>
      </w:pPr>
      <w: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w:t>
      </w:r>
      <w:r>
        <w:rPr>
          <w:sz w:val="10"/>
          <w:szCs w:val="10"/>
        </w:rPr>
        <w:t xml:space="preserve"> </w:t>
      </w:r>
      <w:r>
        <w:rPr/>
        <w:t>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9"/>
        </w:numPr>
        <w:shd w:val="clear" w:color="auto" w:fill="FFFFFF"/>
        <w:tabs>
          <w:tab w:val="clear" w:pos="708"/>
          <w:tab w:val="left" w:pos="0" w:leader="none"/>
        </w:tabs>
        <w:spacing w:lineRule="auto" w:line="276"/>
        <w:ind w:left="0" w:firstLine="709"/>
        <w:jc w:val="both"/>
        <w:rPr/>
      </w:pPr>
      <w:r>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p>
    <w:p>
      <w:pPr>
        <w:pStyle w:val="Normal"/>
        <w:shd w:val="clear" w:color="auto" w:fill="FFFFFF"/>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Особые положения.</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6" w:name="_Ref361337900"/>
      <w:r>
        <w:rPr/>
        <w:t>Подрядчик обязуется не привлекать и не допускать привлечения к исполнению обязательств по Договору организации:</w:t>
      </w:r>
    </w:p>
    <w:p>
      <w:pPr>
        <w:pStyle w:val="ListParagraph"/>
        <w:numPr>
          <w:ilvl w:val="0"/>
          <w:numId w:val="16"/>
        </w:numPr>
        <w:shd w:val="clear" w:color="auto" w:fill="FFFFFF"/>
        <w:tabs>
          <w:tab w:val="clear" w:pos="708"/>
          <w:tab w:val="left" w:pos="0" w:leader="none"/>
          <w:tab w:val="left" w:pos="992" w:leader="none"/>
        </w:tabs>
        <w:spacing w:lineRule="auto" w:line="276"/>
        <w:ind w:left="0" w:firstLine="709"/>
        <w:jc w:val="both"/>
        <w:rPr/>
      </w:pPr>
      <w: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6" w:tgtFrame="consultantplus://offline/ref=94D5CE8889791A29DE57299515463A9D6134D8237B999C803E6F853513x2A2P">
        <w:r>
          <w:rPr/>
          <w:t>№ 18162/09</w:t>
        </w:r>
      </w:hyperlink>
      <w:r>
        <w:rPr/>
        <w:t xml:space="preserve"> и от 25.05.2010 </w:t>
      </w:r>
      <w:hyperlink r:id="rId7" w:tgtFrame="consultantplus://offline/ref=94D5CE8889791A29DE57299515463A9D6135D2287D929C803E6F853513x2A2P">
        <w:r>
          <w:rPr/>
          <w:t>№ 15658/09</w:t>
        </w:r>
      </w:hyperlink>
      <w: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pPr>
        <w:pStyle w:val="ListParagraph"/>
        <w:numPr>
          <w:ilvl w:val="0"/>
          <w:numId w:val="16"/>
        </w:numPr>
        <w:shd w:val="clear" w:color="auto" w:fill="FFFFFF"/>
        <w:tabs>
          <w:tab w:val="clear" w:pos="708"/>
          <w:tab w:val="left" w:pos="0" w:leader="none"/>
          <w:tab w:val="left" w:pos="992" w:leader="none"/>
        </w:tabs>
        <w:spacing w:lineRule="auto" w:line="276"/>
        <w:ind w:left="0" w:firstLine="709"/>
        <w:jc w:val="both"/>
        <w:rPr/>
      </w:pPr>
      <w:r>
        <w:rPr/>
        <w:t xml:space="preserve">соответствующие </w:t>
      </w:r>
      <w:hyperlink r:id="rId8" w:tgtFrame="consultantplus://offline/ref=79440D5123ABA6A25F43346AB59DBAAC7032C8E1556DA64FAED62E167F76889C2B7C475C32EFC59BJ8rDH">
        <w:r>
          <w:rPr/>
          <w:t>Критери</w:t>
        </w:r>
      </w:hyperlink>
      <w: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6"/>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7" w:name="_Ref361337921"/>
      <w:r>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17"/>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8" w:name="_Ref361337948"/>
      <w:r>
        <w:rPr/>
        <w:t>В случае нарушения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18"/>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9" w:name="_Ref361337980"/>
      <w: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bookmarkEnd w:id="19"/>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20" w:name="_Ref373243071"/>
      <w:r>
        <w:rPr/>
        <w:t>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0"/>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21" w:name="_Ref361337992"/>
      <w: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11.4. Договора. При этом Заказчик не будет считаться просрочившим и/или нарушившим свои обязательства по Договору.</w:t>
      </w:r>
      <w:bookmarkEnd w:id="21"/>
    </w:p>
    <w:p>
      <w:pPr>
        <w:pStyle w:val="ListParagraph"/>
        <w:numPr>
          <w:ilvl w:val="1"/>
          <w:numId w:val="9"/>
        </w:numPr>
        <w:shd w:val="clear" w:color="auto" w:fill="FFFFFF"/>
        <w:tabs>
          <w:tab w:val="clear" w:pos="708"/>
          <w:tab w:val="left" w:pos="0" w:leader="none"/>
        </w:tabs>
        <w:spacing w:lineRule="auto" w:line="276"/>
        <w:ind w:left="0" w:firstLine="709"/>
        <w:jc w:val="both"/>
        <w:rPr/>
      </w:pPr>
      <w:r>
        <w:rPr/>
        <w:t>Независимо от других положений Договора, положения пунктов 11.4, 11.5 Договора продолжают действовать в течение 4-х (четырех) лет после его прекращения (расторжения) или исполнения.</w:t>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Заверения Сторон</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8"/>
        </w:numPr>
        <w:shd w:val="clear" w:color="auto" w:fill="FFFFFF"/>
        <w:tabs>
          <w:tab w:val="clear" w:pos="708"/>
          <w:tab w:val="left" w:pos="0" w:leader="none"/>
        </w:tabs>
        <w:spacing w:lineRule="auto" w:line="276"/>
        <w:ind w:left="0" w:firstLine="709"/>
        <w:rPr/>
      </w:pPr>
      <w:r>
        <w:rPr/>
        <w:t xml:space="preserve">Каждая из Сторон заявляет и подтверждает другой Стороне, что: </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8"/>
        </w:numPr>
        <w:shd w:val="clear" w:color="auto" w:fill="FFFFFF"/>
        <w:tabs>
          <w:tab w:val="clear" w:pos="708"/>
          <w:tab w:val="left" w:pos="0" w:leader="none"/>
        </w:tabs>
        <w:spacing w:lineRule="auto" w:line="276"/>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учредителем/учредителями Подрядчика являются лица, не являющиеся массовыми учредителем/учредителями;</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руководителем Подрядчика является лицо, не являющееся массовым руководителем;</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8"/>
        </w:numPr>
        <w:tabs>
          <w:tab w:val="clear" w:pos="708"/>
          <w:tab w:val="left" w:pos="0" w:leader="none"/>
        </w:tabs>
        <w:spacing w:lineRule="auto" w:line="276"/>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8"/>
        </w:numPr>
        <w:shd w:val="clear" w:color="auto" w:fill="FFFFFF"/>
        <w:tabs>
          <w:tab w:val="clear" w:pos="708"/>
          <w:tab w:val="left" w:pos="0" w:leader="none"/>
        </w:tabs>
        <w:spacing w:lineRule="auto" w:line="276"/>
        <w:ind w:left="0" w:firstLine="709"/>
        <w:jc w:val="both"/>
        <w:rPr>
          <w:highlight w:val="white"/>
        </w:rPr>
      </w:pPr>
      <w: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w:t>
      </w:r>
      <w:r>
        <w:rPr>
          <w:highlight w:val="white"/>
        </w:rPr>
        <w:t xml:space="preserve"> 3.1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0" w:leader="none"/>
        </w:tabs>
        <w:spacing w:lineRule="auto" w:line="276"/>
        <w:ind w:left="709" w:hanging="0"/>
        <w:jc w:val="both"/>
        <w:rPr/>
      </w:pPr>
      <w:r>
        <w:rPr/>
      </w:r>
    </w:p>
    <w:p>
      <w:pPr>
        <w:pStyle w:val="ListParagraph"/>
        <w:shd w:val="clear" w:color="auto" w:fill="FFFFFF"/>
        <w:tabs>
          <w:tab w:val="clear" w:pos="708"/>
          <w:tab w:val="left" w:pos="0" w:leader="none"/>
        </w:tabs>
        <w:ind w:left="0" w:firstLine="709"/>
        <w:rPr>
          <w:sz w:val="6"/>
          <w:szCs w:val="6"/>
        </w:rPr>
      </w:pPr>
      <w:r>
        <w:rPr>
          <w:sz w:val="6"/>
          <w:szCs w:val="6"/>
        </w:rPr>
      </w:r>
    </w:p>
    <w:p>
      <w:pPr>
        <w:pStyle w:val="ListParagraph"/>
        <w:numPr>
          <w:ilvl w:val="0"/>
          <w:numId w:val="8"/>
        </w:numPr>
        <w:shd w:val="clear" w:color="auto" w:fill="FFFFFF"/>
        <w:tabs>
          <w:tab w:val="clear" w:pos="708"/>
          <w:tab w:val="left" w:pos="0" w:leader="none"/>
        </w:tabs>
        <w:spacing w:lineRule="auto" w:line="276"/>
        <w:ind w:left="0" w:firstLine="709"/>
        <w:jc w:val="center"/>
        <w:rPr/>
      </w:pPr>
      <w:r>
        <w:rPr>
          <w:b/>
          <w:bCs/>
        </w:rPr>
        <w:t>Прекращение (расторжение) Договора</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8"/>
        </w:numPr>
        <w:shd w:val="clear" w:color="auto" w:fill="FFFFFF"/>
        <w:tabs>
          <w:tab w:val="clear" w:pos="708"/>
          <w:tab w:val="left" w:pos="0" w:leader="none"/>
        </w:tabs>
        <w:spacing w:lineRule="auto" w:line="276"/>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w:t>
      </w:r>
      <w:r>
        <w:rPr>
          <w:highlight w:val="white"/>
        </w:rPr>
        <w:t xml:space="preserve"> 15.6 Договора, </w:t>
      </w:r>
      <w:r>
        <w:rPr/>
        <w:t>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0" w:leader="none"/>
        </w:tabs>
        <w:spacing w:lineRule="auto" w:line="276"/>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0" w:leader="none"/>
        </w:tabs>
        <w:spacing w:lineRule="auto" w:line="276"/>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Стороны установили, что существенным нарушением Договора Подрядчиком является:</w:t>
      </w:r>
    </w:p>
    <w:p>
      <w:pPr>
        <w:pStyle w:val="ListParagraph"/>
        <w:numPr>
          <w:ilvl w:val="0"/>
          <w:numId w:val="19"/>
        </w:numPr>
        <w:tabs>
          <w:tab w:val="clear" w:pos="708"/>
          <w:tab w:val="left" w:pos="0" w:leader="none"/>
          <w:tab w:val="left" w:pos="992" w:leader="none"/>
        </w:tabs>
        <w:spacing w:lineRule="auto" w:line="276"/>
        <w:ind w:left="0" w:firstLine="709"/>
        <w:jc w:val="both"/>
        <w:rPr/>
      </w:pPr>
      <w:r>
        <w:rPr/>
        <w:t>нарушение Подрядчиком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19"/>
        </w:numPr>
        <w:tabs>
          <w:tab w:val="clear" w:pos="708"/>
          <w:tab w:val="left" w:pos="0" w:leader="none"/>
          <w:tab w:val="left" w:pos="992" w:leader="none"/>
        </w:tabs>
        <w:spacing w:lineRule="auto" w:line="276"/>
        <w:ind w:left="0" w:firstLine="709"/>
        <w:jc w:val="both"/>
        <w:rPr/>
      </w:pPr>
      <w:r>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(двадцать) календарных дней либо такие недостатки являются неустранимыми;</w:t>
      </w:r>
    </w:p>
    <w:p>
      <w:pPr>
        <w:pStyle w:val="ListParagraph"/>
        <w:numPr>
          <w:ilvl w:val="0"/>
          <w:numId w:val="19"/>
        </w:numPr>
        <w:tabs>
          <w:tab w:val="clear" w:pos="708"/>
          <w:tab w:val="left" w:pos="0" w:leader="none"/>
          <w:tab w:val="left" w:pos="992" w:leader="none"/>
        </w:tabs>
        <w:spacing w:lineRule="auto" w:line="276"/>
        <w:ind w:left="0"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19"/>
        </w:numPr>
        <w:tabs>
          <w:tab w:val="clear" w:pos="708"/>
          <w:tab w:val="left" w:pos="0" w:leader="none"/>
          <w:tab w:val="left" w:pos="992" w:leader="none"/>
        </w:tabs>
        <w:spacing w:lineRule="auto" w:line="276"/>
        <w:ind w:left="0"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9"/>
        </w:numPr>
        <w:tabs>
          <w:tab w:val="clear" w:pos="708"/>
          <w:tab w:val="left" w:pos="0" w:leader="none"/>
          <w:tab w:val="left" w:pos="992" w:leader="none"/>
        </w:tabs>
        <w:spacing w:lineRule="auto" w:line="276"/>
        <w:ind w:left="0"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19"/>
        </w:numPr>
        <w:tabs>
          <w:tab w:val="clear" w:pos="708"/>
          <w:tab w:val="left" w:pos="0" w:leader="none"/>
          <w:tab w:val="left" w:pos="992" w:leader="none"/>
        </w:tabs>
        <w:spacing w:lineRule="auto" w:line="276"/>
        <w:ind w:left="0"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20"/>
        </w:numPr>
        <w:shd w:val="clear" w:color="auto" w:fill="FFFFFF"/>
        <w:tabs>
          <w:tab w:val="clear" w:pos="708"/>
          <w:tab w:val="left" w:pos="0" w:leader="none"/>
          <w:tab w:val="left" w:pos="992" w:leader="none"/>
        </w:tabs>
        <w:spacing w:lineRule="auto" w:line="276"/>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20"/>
        </w:numPr>
        <w:shd w:val="clear" w:color="auto" w:fill="FFFFFF"/>
        <w:tabs>
          <w:tab w:val="clear" w:pos="708"/>
          <w:tab w:val="left" w:pos="0" w:leader="none"/>
          <w:tab w:val="left" w:pos="992" w:leader="none"/>
        </w:tabs>
        <w:spacing w:lineRule="auto" w:line="276"/>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20"/>
        </w:numPr>
        <w:shd w:val="clear" w:color="auto" w:fill="FFFFFF"/>
        <w:tabs>
          <w:tab w:val="clear" w:pos="708"/>
          <w:tab w:val="left" w:pos="0" w:leader="none"/>
          <w:tab w:val="left" w:pos="992" w:leader="none"/>
        </w:tabs>
        <w:spacing w:lineRule="auto" w:line="276"/>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данное место чистым и безопасным.</w:t>
      </w:r>
    </w:p>
    <w:p>
      <w:pPr>
        <w:pStyle w:val="ListParagraph"/>
        <w:numPr>
          <w:ilvl w:val="1"/>
          <w:numId w:val="8"/>
        </w:numPr>
        <w:shd w:val="clear" w:color="auto" w:fill="FFFFFF"/>
        <w:tabs>
          <w:tab w:val="clear" w:pos="708"/>
          <w:tab w:val="left" w:pos="0" w:leader="none"/>
        </w:tabs>
        <w:spacing w:lineRule="auto" w:line="276"/>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0" w:leader="none"/>
        </w:tabs>
        <w:spacing w:lineRule="auto" w:line="276"/>
        <w:ind w:left="709" w:hanging="0"/>
        <w:jc w:val="both"/>
        <w:rPr/>
      </w:pPr>
      <w:r>
        <w:rPr/>
      </w:r>
    </w:p>
    <w:p>
      <w:pPr>
        <w:pStyle w:val="Normal"/>
        <w:shd w:val="clear" w:color="auto" w:fill="FFFFFF"/>
        <w:tabs>
          <w:tab w:val="clear" w:pos="708"/>
          <w:tab w:val="left" w:pos="0" w:leader="none"/>
        </w:tabs>
        <w:spacing w:lineRule="auto" w:line="276" w:before="0" w:after="0"/>
        <w:ind w:left="709" w:hanging="0"/>
        <w:contextualSpacing/>
        <w:rPr>
          <w:sz w:val="6"/>
          <w:szCs w:val="6"/>
        </w:rPr>
      </w:pPr>
      <w:r>
        <w:rPr>
          <w:sz w:val="6"/>
          <w:szCs w:val="6"/>
        </w:rPr>
      </w:r>
    </w:p>
    <w:p>
      <w:pPr>
        <w:pStyle w:val="ListParagraph"/>
        <w:numPr>
          <w:ilvl w:val="0"/>
          <w:numId w:val="8"/>
        </w:numPr>
        <w:shd w:val="clear" w:color="auto" w:fill="FFFFFF"/>
        <w:tabs>
          <w:tab w:val="clear" w:pos="708"/>
          <w:tab w:val="left" w:pos="0" w:leader="none"/>
        </w:tabs>
        <w:spacing w:lineRule="auto" w:line="276"/>
        <w:ind w:left="0" w:firstLine="709"/>
        <w:jc w:val="center"/>
        <w:rPr>
          <w:b/>
          <w:bCs/>
        </w:rPr>
      </w:pPr>
      <w:r>
        <w:rPr>
          <w:b/>
          <w:bCs/>
        </w:rPr>
        <w:t>Разрешение споров.</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действительностью, решаются путем переговоров. </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Споры указанные в пункте 14.1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в порядке, предусмотренном пунктом 15.6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Арбитражный суд Хабаровского края.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Условия настоящего раздела сохраняют свою силу в случае признания Договора незаключенным и/или недействительным.</w:t>
      </w:r>
    </w:p>
    <w:p>
      <w:pPr>
        <w:pStyle w:val="Normal"/>
        <w:shd w:val="clear" w:color="auto" w:fill="FFFFFF"/>
        <w:tabs>
          <w:tab w:val="clear" w:pos="708"/>
          <w:tab w:val="left" w:pos="0" w:leader="none"/>
        </w:tabs>
        <w:spacing w:lineRule="auto" w:line="276"/>
        <w:ind w:left="600" w:hanging="0"/>
        <w:rPr>
          <w:sz w:val="24"/>
          <w:szCs w:val="24"/>
        </w:rPr>
      </w:pPr>
      <w:r>
        <w:rPr>
          <w:sz w:val="24"/>
          <w:szCs w:val="24"/>
        </w:rPr>
      </w:r>
    </w:p>
    <w:p>
      <w:pPr>
        <w:pStyle w:val="ListParagraph"/>
        <w:numPr>
          <w:ilvl w:val="0"/>
          <w:numId w:val="8"/>
        </w:numPr>
        <w:shd w:val="clear" w:color="auto" w:fill="FFFFFF"/>
        <w:tabs>
          <w:tab w:val="clear" w:pos="708"/>
          <w:tab w:val="left" w:pos="0" w:leader="none"/>
        </w:tabs>
        <w:spacing w:lineRule="auto" w:line="276"/>
        <w:ind w:left="0" w:firstLine="709"/>
        <w:jc w:val="center"/>
        <w:rPr>
          <w:b/>
          <w:bCs/>
        </w:rPr>
      </w:pPr>
      <w:r>
        <w:rPr>
          <w:b/>
          <w:bCs/>
        </w:rPr>
        <w:t>Заключительные положения.</w:t>
      </w:r>
    </w:p>
    <w:p>
      <w:pPr>
        <w:pStyle w:val="Normal"/>
        <w:shd w:val="clear" w:color="auto" w:fill="FFFFFF"/>
        <w:tabs>
          <w:tab w:val="clear" w:pos="708"/>
          <w:tab w:val="left" w:pos="0" w:leader="none"/>
        </w:tabs>
        <w:spacing w:lineRule="auto" w:line="276"/>
        <w:ind w:left="709" w:hanging="0"/>
        <w:jc w:val="left"/>
        <w:rPr>
          <w:b/>
          <w:bCs/>
        </w:rPr>
      </w:pPr>
      <w:r>
        <w:rPr>
          <w:b/>
          <w:bCs/>
        </w:rPr>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Договор вступает в силу с даты подписания Сторонами и действует </w:t>
      </w:r>
      <w:r>
        <w:rPr>
          <w:bCs/>
        </w:rPr>
        <w:t>по _________</w:t>
      </w:r>
      <w:r>
        <w:rPr/>
        <w:t xml:space="preserve"> а в части неисполненных обязательств – до полного исполнения Сторонами. </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w:t>
      </w:r>
    </w:p>
    <w:p>
      <w:pPr>
        <w:pStyle w:val="ListParagraph"/>
        <w:numPr>
          <w:ilvl w:val="1"/>
          <w:numId w:val="8"/>
        </w:numPr>
        <w:shd w:val="clear" w:color="auto" w:fill="FFFFFF"/>
        <w:tabs>
          <w:tab w:val="clear" w:pos="708"/>
          <w:tab w:val="left" w:pos="0" w:leader="none"/>
        </w:tabs>
        <w:spacing w:lineRule="auto" w:line="276"/>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pPr>
        <w:pStyle w:val="ListParagraph"/>
        <w:numPr>
          <w:ilvl w:val="1"/>
          <w:numId w:val="8"/>
        </w:numPr>
        <w:shd w:val="clear" w:color="auto" w:fill="FFFFFF"/>
        <w:tabs>
          <w:tab w:val="clear" w:pos="708"/>
          <w:tab w:val="left" w:pos="0" w:leader="none"/>
        </w:tabs>
        <w:spacing w:lineRule="auto" w:line="276"/>
        <w:ind w:left="0" w:firstLine="709"/>
        <w:jc w:val="both"/>
        <w:rPr/>
      </w:pPr>
      <w:bookmarkStart w:id="22" w:name="_Ref361338004"/>
      <w:r>
        <w:rPr/>
        <w:t>Стороны обязуются уведомлять друг друга об изменении адреса и/или реквизитов, указанных в разделе 17 Договора, не позднее 3-х (трех) рабочих дней после такого изменения.</w:t>
      </w:r>
      <w:bookmarkEnd w:id="22"/>
      <w:r>
        <w:rPr/>
        <w:t xml:space="preserve"> </w:t>
      </w:r>
    </w:p>
    <w:p>
      <w:pPr>
        <w:pStyle w:val="ListParagraph"/>
        <w:numPr>
          <w:ilvl w:val="1"/>
          <w:numId w:val="8"/>
        </w:numPr>
        <w:shd w:val="clear" w:color="auto" w:fill="FFFFFF"/>
        <w:tabs>
          <w:tab w:val="clear" w:pos="708"/>
          <w:tab w:val="left" w:pos="0" w:leader="none"/>
        </w:tabs>
        <w:spacing w:lineRule="auto" w:line="276"/>
        <w:ind w:left="0" w:firstLine="709"/>
        <w:jc w:val="both"/>
        <w:rPr/>
      </w:pPr>
      <w:bookmarkStart w:id="23" w:name="_Ref361338019"/>
      <w:r>
        <w:rPr/>
        <w:t>Письма, уведомления и/или сообщения направляются Стороне-получателю по адресу ее места нахождения, указанному в разд</w:t>
      </w:r>
      <w:r>
        <w:rPr>
          <w:highlight w:val="white"/>
        </w:rPr>
        <w:t>еле 17 Договора</w:t>
      </w:r>
      <w:r>
        <w:rPr/>
        <w:t>, или в ранее полученном уведомлении Стороны об изменении адреса, одним из следующих способов, при этом документ будет считаться полученным:</w:t>
      </w:r>
      <w:bookmarkEnd w:id="23"/>
    </w:p>
    <w:p>
      <w:pPr>
        <w:pStyle w:val="ListParagraph"/>
        <w:numPr>
          <w:ilvl w:val="0"/>
          <w:numId w:val="21"/>
        </w:numPr>
        <w:shd w:val="clear" w:color="auto" w:fill="FFFFFF"/>
        <w:tabs>
          <w:tab w:val="clear" w:pos="708"/>
          <w:tab w:val="left" w:pos="0" w:leader="none"/>
          <w:tab w:val="left" w:pos="992" w:leader="none"/>
        </w:tabs>
        <w:spacing w:lineRule="auto" w:line="276"/>
        <w:ind w:left="0" w:firstLine="709"/>
        <w:jc w:val="both"/>
        <w:rPr/>
      </w:pPr>
      <w: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0"/>
          <w:numId w:val="21"/>
        </w:numPr>
        <w:shd w:val="clear" w:color="auto" w:fill="FFFFFF"/>
        <w:tabs>
          <w:tab w:val="clear" w:pos="708"/>
          <w:tab w:val="left" w:pos="0" w:leader="none"/>
          <w:tab w:val="left" w:pos="992" w:leader="none"/>
        </w:tabs>
        <w:spacing w:lineRule="auto" w:line="276"/>
        <w:ind w:left="0" w:firstLine="709"/>
        <w:jc w:val="both"/>
        <w:rPr/>
      </w:pPr>
      <w:bookmarkStart w:id="24" w:name="_Ref361338032"/>
      <w:r>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адресатом/факта отсутствия адресата по указанному адресу;</w:t>
      </w:r>
      <w:bookmarkEnd w:id="24"/>
    </w:p>
    <w:p>
      <w:pPr>
        <w:pStyle w:val="ListParagraph"/>
        <w:numPr>
          <w:ilvl w:val="0"/>
          <w:numId w:val="21"/>
        </w:numPr>
        <w:shd w:val="clear" w:color="auto" w:fill="FFFFFF"/>
        <w:tabs>
          <w:tab w:val="clear" w:pos="708"/>
          <w:tab w:val="left" w:pos="0" w:leader="none"/>
          <w:tab w:val="left" w:pos="992" w:leader="none"/>
        </w:tabs>
        <w:spacing w:lineRule="auto" w:line="276"/>
        <w:ind w:left="0" w:firstLine="709"/>
        <w:jc w:val="both"/>
        <w:rPr/>
      </w:pPr>
      <w:r>
        <w:rPr/>
        <w:t xml:space="preserve">электронным сообщением – </w:t>
      </w:r>
      <w:r>
        <w:rPr>
          <w:bCs/>
          <w:highlight w:val="white"/>
        </w:rPr>
        <w:t>в дату и время отправления, подтвержденного протоколом передачи, распечатанным Стороной-отправителем. В случае, если передача электронного сообщения осуществляется вне обычных рабочих часов Стороны-получателя, документ будет считаться полученным в 10 часов 00 минут следующего рабочего дня.</w:t>
      </w:r>
    </w:p>
    <w:p>
      <w:pPr>
        <w:pStyle w:val="Normal"/>
        <w:numPr>
          <w:ilvl w:val="1"/>
          <w:numId w:val="8"/>
        </w:numPr>
        <w:tabs>
          <w:tab w:val="clear" w:pos="708"/>
          <w:tab w:val="left" w:pos="0" w:leader="none"/>
        </w:tabs>
        <w:spacing w:lineRule="auto" w:line="276"/>
        <w:ind w:left="0" w:firstLine="709"/>
        <w:rPr>
          <w:sz w:val="24"/>
          <w:szCs w:val="24"/>
        </w:rPr>
      </w:pPr>
      <w:r>
        <w:rPr>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8"/>
        </w:numPr>
        <w:shd w:val="clear" w:color="auto" w:fill="FFFFFF"/>
        <w:tabs>
          <w:tab w:val="clear" w:pos="708"/>
          <w:tab w:val="left" w:pos="0" w:leader="none"/>
        </w:tabs>
        <w:spacing w:lineRule="auto" w:line="276"/>
        <w:ind w:left="0" w:firstLine="709"/>
        <w:jc w:val="both"/>
        <w:rPr/>
      </w:pPr>
      <w:r>
        <w:rPr/>
        <w:t>Настоящий Договор заключается в электронной форме с использованием программно – 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tabs>
          <w:tab w:val="clear" w:pos="708"/>
          <w:tab w:val="left" w:pos="0" w:leader="none"/>
        </w:tabs>
        <w:spacing w:lineRule="auto" w:line="276"/>
        <w:jc w:val="both"/>
        <w:rPr/>
      </w:pPr>
      <w:r>
        <w:rPr/>
      </w:r>
    </w:p>
    <w:p>
      <w:pPr>
        <w:pStyle w:val="ListParagraph"/>
        <w:numPr>
          <w:ilvl w:val="0"/>
          <w:numId w:val="8"/>
        </w:numPr>
        <w:shd w:val="clear" w:color="auto" w:fill="FFFFFF"/>
        <w:tabs>
          <w:tab w:val="clear" w:pos="708"/>
          <w:tab w:val="left" w:pos="0" w:leader="none"/>
        </w:tabs>
        <w:ind w:left="0" w:firstLine="709"/>
        <w:jc w:val="center"/>
        <w:rPr>
          <w:b/>
          <w:bCs/>
        </w:rPr>
      </w:pPr>
      <w:r>
        <w:rPr>
          <w:b/>
          <w:bCs/>
        </w:rPr>
        <w:t>Список приложений</w:t>
      </w:r>
    </w:p>
    <w:p>
      <w:pPr>
        <w:pStyle w:val="ListParagraph"/>
        <w:widowControl w:val="false"/>
        <w:shd w:val="clear" w:color="auto" w:fill="FFFFFF"/>
        <w:tabs>
          <w:tab w:val="clear" w:pos="708"/>
          <w:tab w:val="left" w:pos="0" w:leader="none"/>
        </w:tabs>
        <w:spacing w:lineRule="auto" w:line="276"/>
        <w:ind w:left="0" w:firstLine="709"/>
        <w:jc w:val="both"/>
        <w:rPr/>
      </w:pPr>
      <w:r>
        <w:rPr/>
      </w:r>
    </w:p>
    <w:p>
      <w:pPr>
        <w:pStyle w:val="ListParagraph"/>
        <w:widowControl w:val="false"/>
        <w:shd w:val="clear" w:color="auto" w:fill="FFFFFF"/>
        <w:tabs>
          <w:tab w:val="clear" w:pos="708"/>
          <w:tab w:val="left" w:pos="0" w:leader="none"/>
        </w:tabs>
        <w:spacing w:lineRule="auto" w:line="276"/>
        <w:ind w:left="0" w:firstLine="709"/>
        <w:jc w:val="both"/>
        <w:rPr/>
      </w:pPr>
      <w:r>
        <w:rPr/>
        <w:t>Приложение  № 1 – Техническое задание;</w:t>
      </w:r>
    </w:p>
    <w:p>
      <w:pPr>
        <w:pStyle w:val="ListParagraph"/>
        <w:shd w:val="clear" w:color="auto" w:fill="FFFFFF"/>
        <w:tabs>
          <w:tab w:val="clear" w:pos="708"/>
          <w:tab w:val="left" w:pos="0" w:leader="none"/>
        </w:tabs>
        <w:spacing w:lineRule="auto" w:line="276"/>
        <w:ind w:left="0" w:firstLine="709"/>
        <w:jc w:val="both"/>
        <w:rPr/>
      </w:pPr>
      <w:r>
        <w:rPr/>
        <w:t xml:space="preserve">Приложение  № 2 – Локальный  сметный </w:t>
      </w:r>
      <w:r>
        <w:rPr>
          <w:bCs/>
        </w:rPr>
        <w:t>расчёт;</w:t>
      </w:r>
    </w:p>
    <w:p>
      <w:pPr>
        <w:pStyle w:val="ListParagraph"/>
        <w:shd w:val="clear" w:color="auto" w:fill="FFFFFF"/>
        <w:tabs>
          <w:tab w:val="clear" w:pos="708"/>
          <w:tab w:val="left" w:pos="0" w:leader="none"/>
        </w:tabs>
        <w:spacing w:lineRule="auto" w:line="276"/>
        <w:ind w:left="0" w:firstLine="709"/>
        <w:jc w:val="both"/>
        <w:rPr/>
      </w:pPr>
      <w:r>
        <w:rPr/>
        <w:t>Приложение № 3 – Форма Акта сдачи-приемки строительной площадки, места (помещения) для складирования Материально-технических ресурсов;</w:t>
      </w:r>
    </w:p>
    <w:p>
      <w:pPr>
        <w:pStyle w:val="ListParagraph"/>
        <w:shd w:val="clear" w:color="auto" w:fill="FFFFFF"/>
        <w:tabs>
          <w:tab w:val="clear" w:pos="708"/>
          <w:tab w:val="left" w:pos="0" w:leader="none"/>
        </w:tabs>
        <w:spacing w:lineRule="auto" w:line="276"/>
        <w:ind w:left="0" w:firstLine="709"/>
        <w:jc w:val="both"/>
        <w:rPr/>
      </w:pPr>
      <w:r>
        <w:rPr/>
        <w:t>Приложение № 4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tabs>
          <w:tab w:val="clear" w:pos="708"/>
          <w:tab w:val="left" w:pos="0" w:leader="none"/>
        </w:tabs>
        <w:spacing w:lineRule="auto" w:line="276"/>
        <w:ind w:left="0" w:firstLine="709"/>
        <w:jc w:val="both"/>
        <w:rPr/>
      </w:pPr>
      <w:r>
        <w:rPr/>
        <w:t>Приложение № 5 – Форма справки о заключенных договорах Подрядчика по договору с Субподрядчиками, являющимися субъектами малого и среднего предпринимательства;</w:t>
      </w:r>
    </w:p>
    <w:p>
      <w:pPr>
        <w:pStyle w:val="ListParagraph"/>
        <w:shd w:val="clear" w:color="auto" w:fill="FFFFFF"/>
        <w:tabs>
          <w:tab w:val="clear" w:pos="708"/>
          <w:tab w:val="left" w:pos="0" w:leader="none"/>
        </w:tabs>
        <w:spacing w:lineRule="auto" w:line="276"/>
        <w:ind w:left="0" w:firstLine="709"/>
        <w:jc w:val="both"/>
        <w:rPr/>
      </w:pPr>
      <w:r>
        <w:rPr/>
        <w:t>Приложение № 6 – Форма (Реестр исполнительной документации);</w:t>
      </w:r>
    </w:p>
    <w:p>
      <w:pPr>
        <w:pStyle w:val="ListParagraph"/>
        <w:shd w:val="clear" w:color="auto" w:fill="FFFFFF"/>
        <w:tabs>
          <w:tab w:val="clear" w:pos="708"/>
          <w:tab w:val="left" w:pos="0" w:leader="none"/>
        </w:tabs>
        <w:spacing w:lineRule="auto" w:line="276"/>
        <w:ind w:left="0" w:firstLine="709"/>
        <w:jc w:val="both"/>
        <w:rPr/>
      </w:pPr>
      <w:r>
        <w:rPr/>
        <w:t>Приложение № 7 – Форма (Акт освидетельствования скрытых работ);</w:t>
      </w:r>
    </w:p>
    <w:p>
      <w:pPr>
        <w:pStyle w:val="ListParagraph"/>
        <w:shd w:val="clear" w:color="auto" w:fill="FFFFFF"/>
        <w:tabs>
          <w:tab w:val="clear" w:pos="708"/>
          <w:tab w:val="left" w:pos="0" w:leader="none"/>
        </w:tabs>
        <w:spacing w:lineRule="auto" w:line="276"/>
        <w:ind w:left="0" w:firstLine="709"/>
        <w:jc w:val="both"/>
        <w:rPr/>
      </w:pPr>
      <w:r>
        <w:rPr/>
        <w:t>Приложение № 8 – Форма (Акт по форме КС-2);</w:t>
      </w:r>
    </w:p>
    <w:p>
      <w:pPr>
        <w:pStyle w:val="ListParagraph"/>
        <w:shd w:val="clear" w:color="auto" w:fill="FFFFFF"/>
        <w:tabs>
          <w:tab w:val="clear" w:pos="708"/>
          <w:tab w:val="left" w:pos="0" w:leader="none"/>
        </w:tabs>
        <w:spacing w:lineRule="auto" w:line="276"/>
        <w:ind w:left="0" w:firstLine="709"/>
        <w:jc w:val="both"/>
        <w:rPr/>
      </w:pPr>
      <w:r>
        <w:rPr/>
        <w:t>Приложение № 9 – Форма (Справка по форме КС-3);</w:t>
      </w:r>
    </w:p>
    <w:p>
      <w:pPr>
        <w:pStyle w:val="ListParagraph"/>
        <w:shd w:val="clear" w:color="auto" w:fill="FFFFFF"/>
        <w:tabs>
          <w:tab w:val="clear" w:pos="708"/>
          <w:tab w:val="left" w:pos="0" w:leader="none"/>
        </w:tabs>
        <w:spacing w:lineRule="auto" w:line="276"/>
        <w:ind w:left="0" w:firstLine="709"/>
        <w:jc w:val="both"/>
        <w:rPr/>
      </w:pPr>
      <w:r>
        <w:rPr/>
        <w:t>Приложение № 10 – Форма (Акт по форме ОС-3);</w:t>
      </w:r>
    </w:p>
    <w:p>
      <w:pPr>
        <w:pStyle w:val="Annotationtext"/>
        <w:tabs>
          <w:tab w:val="clear" w:pos="708"/>
          <w:tab w:val="left" w:pos="0" w:leader="none"/>
          <w:tab w:val="left" w:pos="1134" w:leader="none"/>
        </w:tabs>
        <w:spacing w:lineRule="auto" w:line="276"/>
        <w:ind w:left="720" w:hanging="0"/>
        <w:rPr>
          <w:sz w:val="24"/>
          <w:szCs w:val="24"/>
        </w:rPr>
      </w:pPr>
      <w:r>
        <w:rPr>
          <w:sz w:val="24"/>
          <w:szCs w:val="24"/>
          <w:highlight w:val="white"/>
        </w:rPr>
        <w:t>Приложение № 11 – График производства работ.</w:t>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ListParagraph"/>
        <w:numPr>
          <w:ilvl w:val="0"/>
          <w:numId w:val="8"/>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sz w:val="14"/>
          <w:szCs w:val="14"/>
        </w:rPr>
      </w:pPr>
      <w:r>
        <w:rPr>
          <w:sz w:val="14"/>
          <w:szCs w:val="14"/>
        </w:rPr>
      </w:r>
    </w:p>
    <w:tbl>
      <w:tblPr>
        <w:tblW w:w="9755"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5068"/>
        <w:gridCol w:w="4686"/>
      </w:tblGrid>
      <w:tr>
        <w:trPr>
          <w:trHeight w:val="6321" w:hRule="atLeast"/>
        </w:trPr>
        <w:tc>
          <w:tcPr>
            <w:tcW w:w="5068" w:type="dxa"/>
            <w:tcBorders/>
            <w:shd w:color="auto" w:fill="auto" w:val="clear"/>
          </w:tcPr>
          <w:p>
            <w:pPr>
              <w:pStyle w:val="Normal"/>
              <w:widowControl w:val="false"/>
              <w:ind w:hanging="0"/>
              <w:rPr/>
            </w:pPr>
            <w:r>
              <w:rPr>
                <w:b/>
                <w:bCs/>
                <w:sz w:val="22"/>
                <w:szCs w:val="22"/>
              </w:rPr>
              <w:t>ЗАКАЗЧИК:</w:t>
            </w:r>
          </w:p>
          <w:p>
            <w:pPr>
              <w:pStyle w:val="Normal"/>
              <w:widowControl w:val="false"/>
              <w:spacing w:lineRule="auto" w:line="240"/>
              <w:ind w:hanging="0"/>
              <w:jc w:val="left"/>
              <w:rPr>
                <w:sz w:val="24"/>
                <w:szCs w:val="24"/>
              </w:rPr>
            </w:pPr>
            <w:r>
              <w:rPr>
                <w:sz w:val="24"/>
                <w:szCs w:val="24"/>
              </w:rPr>
              <w:t>Акционерное общество «Дальневосточная генерирующая компания» (АО «ДГК»)</w:t>
            </w:r>
          </w:p>
          <w:p>
            <w:pPr>
              <w:pStyle w:val="Normal"/>
              <w:widowControl w:val="false"/>
              <w:spacing w:lineRule="auto" w:line="240"/>
              <w:ind w:hanging="0"/>
              <w:jc w:val="left"/>
              <w:rPr>
                <w:sz w:val="24"/>
                <w:szCs w:val="24"/>
              </w:rPr>
            </w:pPr>
            <w:r>
              <w:rPr>
                <w:sz w:val="24"/>
                <w:szCs w:val="24"/>
              </w:rPr>
              <w:t xml:space="preserve">Адрес: 680000, Хабаровский край, </w:t>
            </w:r>
          </w:p>
          <w:p>
            <w:pPr>
              <w:pStyle w:val="Normal"/>
              <w:widowControl w:val="false"/>
              <w:spacing w:lineRule="auto" w:line="240"/>
              <w:ind w:hanging="0"/>
              <w:jc w:val="left"/>
              <w:rPr>
                <w:sz w:val="24"/>
                <w:szCs w:val="24"/>
              </w:rPr>
            </w:pPr>
            <w:r>
              <w:rPr>
                <w:sz w:val="24"/>
                <w:szCs w:val="24"/>
              </w:rPr>
              <w:t>г. Хабаровск, ул. Фрунзе, д. 49</w:t>
            </w:r>
          </w:p>
          <w:p>
            <w:pPr>
              <w:pStyle w:val="Normal"/>
              <w:widowControl w:val="false"/>
              <w:spacing w:lineRule="auto" w:line="240"/>
              <w:ind w:hanging="0"/>
              <w:jc w:val="left"/>
              <w:rPr>
                <w:sz w:val="24"/>
                <w:szCs w:val="24"/>
              </w:rPr>
            </w:pPr>
            <w:r>
              <w:rPr>
                <w:sz w:val="24"/>
                <w:szCs w:val="24"/>
              </w:rPr>
              <w:t xml:space="preserve">ОГРН 1051401746769, </w:t>
            </w:r>
          </w:p>
          <w:p>
            <w:pPr>
              <w:pStyle w:val="Normal"/>
              <w:widowControl w:val="false"/>
              <w:spacing w:lineRule="auto" w:line="240"/>
              <w:ind w:hanging="0"/>
              <w:jc w:val="left"/>
              <w:rPr>
                <w:sz w:val="24"/>
                <w:szCs w:val="24"/>
              </w:rPr>
            </w:pPr>
            <w:r>
              <w:rPr>
                <w:sz w:val="24"/>
                <w:szCs w:val="24"/>
              </w:rPr>
              <w:t>ИНН 1434031363 / КПП 997650001</w:t>
            </w:r>
          </w:p>
          <w:p>
            <w:pPr>
              <w:pStyle w:val="Normal"/>
              <w:widowControl w:val="false"/>
              <w:spacing w:lineRule="auto" w:line="240"/>
              <w:ind w:hanging="0"/>
              <w:jc w:val="left"/>
              <w:rPr>
                <w:sz w:val="24"/>
                <w:szCs w:val="24"/>
              </w:rPr>
            </w:pPr>
            <w:r>
              <w:rPr>
                <w:sz w:val="24"/>
                <w:szCs w:val="24"/>
              </w:rPr>
              <w:t xml:space="preserve">Р/счет: 40702810270000008818 в </w:t>
            </w:r>
          </w:p>
          <w:p>
            <w:pPr>
              <w:pStyle w:val="Normal"/>
              <w:widowControl w:val="false"/>
              <w:spacing w:lineRule="auto" w:line="240"/>
              <w:ind w:hanging="0"/>
              <w:jc w:val="left"/>
              <w:rPr>
                <w:sz w:val="24"/>
                <w:szCs w:val="24"/>
              </w:rPr>
            </w:pPr>
            <w:r>
              <w:rPr>
                <w:sz w:val="24"/>
                <w:szCs w:val="24"/>
              </w:rPr>
              <w:t>Дальневосточном банке ПАО «Сбербанк», г.Хабаровск</w:t>
            </w:r>
          </w:p>
          <w:p>
            <w:pPr>
              <w:pStyle w:val="Normal"/>
              <w:widowControl w:val="false"/>
              <w:spacing w:lineRule="auto" w:line="240"/>
              <w:ind w:hanging="0"/>
              <w:jc w:val="left"/>
              <w:rPr>
                <w:sz w:val="24"/>
                <w:szCs w:val="24"/>
              </w:rPr>
            </w:pPr>
            <w:r>
              <w:rPr>
                <w:sz w:val="24"/>
                <w:szCs w:val="24"/>
              </w:rPr>
              <w:t>К/счет: 30101810600000000608</w:t>
            </w:r>
          </w:p>
          <w:p>
            <w:pPr>
              <w:pStyle w:val="Normal"/>
              <w:widowControl w:val="false"/>
              <w:spacing w:lineRule="auto" w:line="240"/>
              <w:ind w:hanging="0"/>
              <w:jc w:val="left"/>
              <w:rPr>
                <w:sz w:val="24"/>
                <w:szCs w:val="24"/>
              </w:rPr>
            </w:pPr>
            <w:r>
              <w:rPr>
                <w:sz w:val="24"/>
                <w:szCs w:val="24"/>
              </w:rPr>
              <w:t>БИК: 040813608</w:t>
            </w:r>
          </w:p>
          <w:p>
            <w:pPr>
              <w:pStyle w:val="Normal"/>
              <w:widowControl w:val="false"/>
              <w:spacing w:lineRule="auto" w:line="240"/>
              <w:ind w:hanging="0"/>
              <w:jc w:val="left"/>
              <w:rPr/>
            </w:pPr>
            <w:r>
              <w:rPr>
                <w:sz w:val="24"/>
                <w:szCs w:val="24"/>
              </w:rPr>
              <w:t>КПП: 270532001</w:t>
            </w:r>
          </w:p>
          <w:p>
            <w:pPr>
              <w:pStyle w:val="Normal"/>
              <w:widowControl w:val="false"/>
              <w:spacing w:lineRule="auto" w:line="240"/>
              <w:ind w:hanging="0"/>
              <w:jc w:val="left"/>
              <w:rPr>
                <w:sz w:val="24"/>
                <w:szCs w:val="24"/>
              </w:rPr>
            </w:pPr>
            <w:r>
              <w:rPr>
                <w:sz w:val="24"/>
                <w:szCs w:val="24"/>
              </w:rPr>
              <w:t>Адрес для корреспонденции:</w:t>
            </w:r>
          </w:p>
          <w:p>
            <w:pPr>
              <w:pStyle w:val="Normal"/>
              <w:widowControl w:val="false"/>
              <w:spacing w:lineRule="auto" w:line="240"/>
              <w:ind w:hanging="0"/>
              <w:jc w:val="left"/>
              <w:rPr>
                <w:sz w:val="24"/>
                <w:szCs w:val="24"/>
              </w:rPr>
            </w:pPr>
            <w:r>
              <w:rPr>
                <w:sz w:val="24"/>
                <w:szCs w:val="24"/>
              </w:rPr>
              <w:t xml:space="preserve">АО «ДГК» Структурное подразделение «Николаевская ТЭЦ», </w:t>
            </w:r>
          </w:p>
          <w:p>
            <w:pPr>
              <w:pStyle w:val="Normal"/>
              <w:widowControl w:val="false"/>
              <w:spacing w:lineRule="auto" w:line="240"/>
              <w:ind w:hanging="0"/>
              <w:jc w:val="left"/>
              <w:rPr>
                <w:sz w:val="24"/>
                <w:szCs w:val="24"/>
              </w:rPr>
            </w:pPr>
            <w:r>
              <w:rPr>
                <w:sz w:val="24"/>
                <w:szCs w:val="24"/>
              </w:rPr>
              <w:t xml:space="preserve">682460, г. Николаевск-на-Амуре, </w:t>
            </w:r>
          </w:p>
          <w:p>
            <w:pPr>
              <w:pStyle w:val="Normal"/>
              <w:widowControl w:val="false"/>
              <w:spacing w:lineRule="auto" w:line="240"/>
              <w:ind w:hanging="0"/>
              <w:jc w:val="left"/>
              <w:rPr>
                <w:sz w:val="24"/>
                <w:szCs w:val="24"/>
              </w:rPr>
            </w:pPr>
            <w:r>
              <w:rPr>
                <w:sz w:val="24"/>
                <w:szCs w:val="24"/>
              </w:rPr>
              <w:t>ул. Невельского, 24</w:t>
            </w:r>
          </w:p>
          <w:p>
            <w:pPr>
              <w:pStyle w:val="Normal"/>
              <w:widowControl w:val="false"/>
              <w:spacing w:lineRule="auto" w:line="240"/>
              <w:ind w:hanging="0"/>
              <w:jc w:val="left"/>
              <w:rPr>
                <w:sz w:val="24"/>
                <w:szCs w:val="24"/>
              </w:rPr>
            </w:pPr>
            <w:r>
              <w:rPr>
                <w:sz w:val="24"/>
                <w:szCs w:val="24"/>
              </w:rPr>
              <w:t xml:space="preserve"> </w:t>
            </w:r>
          </w:p>
          <w:p>
            <w:pPr>
              <w:pStyle w:val="Normal"/>
              <w:widowControl w:val="false"/>
              <w:spacing w:lineRule="auto" w:line="240"/>
              <w:ind w:hanging="0"/>
              <w:jc w:val="left"/>
              <w:rPr>
                <w:sz w:val="24"/>
                <w:szCs w:val="24"/>
              </w:rPr>
            </w:pPr>
            <w:r>
              <w:rPr>
                <w:sz w:val="24"/>
                <w:szCs w:val="24"/>
              </w:rPr>
              <w:t>Заказчик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_______________/ </w:t>
            </w:r>
          </w:p>
          <w:p>
            <w:pPr>
              <w:pStyle w:val="Normal"/>
              <w:widowControl w:val="false"/>
              <w:spacing w:lineRule="auto" w:line="240"/>
              <w:ind w:hanging="0"/>
              <w:jc w:val="left"/>
              <w:rPr>
                <w:sz w:val="24"/>
                <w:szCs w:val="24"/>
              </w:rPr>
            </w:pPr>
            <w:r>
              <w:rPr>
                <w:sz w:val="24"/>
                <w:szCs w:val="24"/>
              </w:rPr>
              <w:t>М.П.</w:t>
            </w:r>
          </w:p>
        </w:tc>
        <w:tc>
          <w:tcPr>
            <w:tcW w:w="4686" w:type="dxa"/>
            <w:tcBorders/>
            <w:shd w:color="auto" w:fill="auto" w:val="clear"/>
          </w:tcPr>
          <w:p>
            <w:pPr>
              <w:pStyle w:val="Normal"/>
              <w:widowControl w:val="false"/>
              <w:ind w:hanging="0"/>
              <w:rPr/>
            </w:pPr>
            <w:r>
              <w:rPr>
                <w:b/>
                <w:bCs/>
                <w:sz w:val="22"/>
                <w:szCs w:val="22"/>
              </w:rPr>
              <w:t>ПОДРЯДЧИК: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tc>
      </w:tr>
    </w:tbl>
    <w:p>
      <w:pPr>
        <w:sectPr>
          <w:footerReference w:type="default" r:id="rId9"/>
          <w:type w:val="nextPage"/>
          <w:pgSz w:w="11906" w:h="16838"/>
          <w:pgMar w:left="1276" w:right="709" w:gutter="0" w:header="0" w:top="567" w:footer="123" w:bottom="963"/>
          <w:pgNumType w:fmt="decimal"/>
          <w:formProt w:val="false"/>
          <w:titlePg/>
          <w:textDirection w:val="lrTb"/>
          <w:docGrid w:type="default" w:linePitch="360" w:charSpace="0"/>
        </w:sectPr>
      </w:pPr>
    </w:p>
    <w:p>
      <w:pPr>
        <w:pStyle w:val="Title"/>
        <w:shd w:val="clear" w:color="auto" w:fill="auto"/>
        <w:ind w:hanging="0"/>
        <w:jc w:val="right"/>
        <w:rPr>
          <w:b w:val="false"/>
        </w:rPr>
      </w:pPr>
      <w:r>
        <w:rPr>
          <w:b w:val="false"/>
        </w:rPr>
        <w:t>Приложение № 3 к Договору подряда №____________ от _______2026 г.</w:t>
      </w:r>
    </w:p>
    <w:p>
      <w:pPr>
        <w:pStyle w:val="Title"/>
        <w:shd w:val="clear" w:color="auto" w:fill="auto"/>
        <w:ind w:hanging="0"/>
        <w:jc w:val="right"/>
        <w:rPr>
          <w:b w:val="false"/>
          <w:iCs/>
          <w:sz w:val="24"/>
          <w:szCs w:val="24"/>
        </w:rPr>
      </w:pPr>
      <w:r>
        <w:rPr>
          <w:b w:val="false"/>
          <w:iCs/>
          <w:sz w:val="24"/>
          <w:szCs w:val="24"/>
        </w:rPr>
      </w:r>
    </w:p>
    <w:p>
      <w:pPr>
        <w:pStyle w:val="Title"/>
        <w:shd w:val="clear" w:color="auto" w:fill="auto"/>
        <w:ind w:hanging="0"/>
        <w:rPr>
          <w:b w:val="false"/>
          <w:sz w:val="24"/>
          <w:szCs w:val="24"/>
        </w:rPr>
      </w:pPr>
      <w:r>
        <w:rPr>
          <w:b w:val="false"/>
          <w:iCs/>
          <w:sz w:val="24"/>
          <w:szCs w:val="24"/>
        </w:rPr>
        <w:t>ФОРМА</w:t>
      </w:r>
    </w:p>
    <w:p>
      <w:pPr>
        <w:pStyle w:val="Title"/>
        <w:shd w:val="clear" w:color="auto" w:fill="auto"/>
        <w:ind w:hanging="0"/>
        <w:rPr>
          <w:b w:val="false"/>
          <w:i/>
          <w:i/>
          <w:iCs/>
          <w:sz w:val="24"/>
          <w:szCs w:val="24"/>
        </w:rPr>
      </w:pPr>
      <w:r>
        <w:rPr>
          <w:b w:val="false"/>
          <w:sz w:val="24"/>
          <w:szCs w:val="24"/>
        </w:rPr>
        <w:t>Акта сдачи-приемки ремонтной площадки и/или</w:t>
      </w:r>
      <w:r>
        <w:rPr>
          <w:b w:val="false"/>
          <w:sz w:val="24"/>
        </w:rPr>
        <w:t xml:space="preserve"> места (помещения) для складирования 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rPr>
            </w:pPr>
            <w:r>
              <w:rPr>
                <w:b w:val="false"/>
              </w:rPr>
              <w:t xml:space="preserve">Акт </w:t>
            </w:r>
          </w:p>
          <w:p>
            <w:pPr>
              <w:pStyle w:val="Title"/>
              <w:widowControl w:val="false"/>
              <w:shd w:val="clear" w:color="auto" w:fill="auto"/>
              <w:ind w:hanging="0"/>
              <w:rPr>
                <w:b w:val="false"/>
                <w:i/>
                <w:i/>
                <w:iCs/>
              </w:rPr>
            </w:pPr>
            <w:r>
              <w:rPr>
                <w:b w:val="false"/>
              </w:rPr>
              <w:t xml:space="preserve">сдачи-приемки ремонтной площадки </w:t>
            </w:r>
          </w:p>
          <w:p>
            <w:pPr>
              <w:pStyle w:val="Normal"/>
              <w:widowControl w:val="false"/>
              <w:rPr>
                <w:sz w:val="22"/>
              </w:rPr>
            </w:pPr>
            <w:r>
              <w:rPr>
                <w:sz w:val="22"/>
              </w:rPr>
            </w:r>
          </w:p>
          <w:p>
            <w:pPr>
              <w:pStyle w:val="Normal"/>
              <w:widowControl w:val="false"/>
              <w:ind w:hanging="0"/>
              <w:rPr>
                <w:sz w:val="22"/>
                <w:szCs w:val="22"/>
              </w:rPr>
            </w:pPr>
            <w:r>
              <w:rPr>
                <w:sz w:val="22"/>
                <w:szCs w:val="22"/>
              </w:rPr>
              <w:t xml:space="preserve">г. Николаевск-на-Амуре                                                                                                    «_____» ____________г. </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 именуемое далее «Подрядчик», в лице ________, действующего на основании _______, и АО «ДГК», именуемое далее «Заказчик», в лице _____________________________________., составили настоящий акт о нижеследующем:</w:t>
            </w:r>
          </w:p>
          <w:p>
            <w:pPr>
              <w:pStyle w:val="Normal"/>
              <w:widowControl w:val="false"/>
              <w:ind w:hanging="0"/>
              <w:rPr>
                <w:sz w:val="22"/>
                <w:szCs w:val="22"/>
              </w:rPr>
            </w:pPr>
            <w:r>
              <w:rPr>
                <w:sz w:val="22"/>
                <w:szCs w:val="22"/>
              </w:rPr>
              <w:t xml:space="preserve">Заказчик передал Подрядчику, а Подрядчик принял ремонтную площадку: </w:t>
            </w:r>
          </w:p>
          <w:p>
            <w:pPr>
              <w:pStyle w:val="Normal"/>
              <w:widowControl w:val="false"/>
              <w:ind w:hanging="0"/>
              <w:rPr>
                <w:sz w:val="22"/>
                <w:szCs w:val="22"/>
              </w:rPr>
            </w:pPr>
            <w:r>
              <w:rPr>
                <w:sz w:val="22"/>
                <w:szCs w:val="22"/>
              </w:rPr>
              <w:t>___________________________ по Договору подряда №_________ от _________________ г.</w:t>
            </w:r>
          </w:p>
          <w:p>
            <w:pPr>
              <w:pStyle w:val="Normal"/>
              <w:widowControl w:val="false"/>
              <w:ind w:hanging="0"/>
              <w:rPr>
                <w:sz w:val="22"/>
                <w:szCs w:val="22"/>
              </w:rPr>
            </w:pPr>
            <w:r>
              <w:rPr>
                <w:sz w:val="22"/>
                <w:szCs w:val="22"/>
              </w:rPr>
              <w:t xml:space="preserve">Ремонтная площадка передана Подрядчику в установленный Договором срок. </w:t>
            </w:r>
          </w:p>
          <w:p>
            <w:pPr>
              <w:pStyle w:val="Normal"/>
              <w:widowControl w:val="false"/>
              <w:ind w:hanging="0"/>
              <w:rPr>
                <w:sz w:val="22"/>
                <w:szCs w:val="22"/>
              </w:rPr>
            </w:pPr>
            <w:r>
              <w:rPr>
                <w:sz w:val="22"/>
                <w:szCs w:val="22"/>
              </w:rPr>
              <w:t>Претензии Подрядчика (замечания и недостатки) к месту производства Работ: «не имеются».</w:t>
            </w:r>
          </w:p>
          <w:p>
            <w:pPr>
              <w:pStyle w:val="Normal"/>
              <w:widowControl w:val="false"/>
              <w:ind w:hanging="0"/>
              <w:rPr>
                <w:sz w:val="22"/>
                <w:szCs w:val="22"/>
              </w:rPr>
            </w:pPr>
            <w:r>
              <w:rPr>
                <w:sz w:val="22"/>
                <w:szCs w:val="22"/>
              </w:rPr>
            </w:r>
          </w:p>
          <w:p>
            <w:pPr>
              <w:pStyle w:val="Title"/>
              <w:widowControl w:val="false"/>
              <w:shd w:val="clear" w:color="auto" w:fill="auto"/>
              <w:ind w:hanging="0"/>
              <w:jc w:val="left"/>
              <w:rPr>
                <w:b w:val="false"/>
                <w:i/>
                <w:i/>
                <w:iCs/>
              </w:rPr>
            </w:pPr>
            <w:r>
              <w:rPr>
                <w:b w:val="false"/>
                <w:i/>
                <w:iCs/>
              </w:rPr>
            </w:r>
          </w:p>
          <w:tbl>
            <w:tblPr>
              <w:tblW w:w="79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2"/>
              <w:gridCol w:w="3968"/>
            </w:tblGrid>
            <w:tr>
              <w:trPr/>
              <w:tc>
                <w:tcPr>
                  <w:tcW w:w="4002" w:type="dxa"/>
                  <w:tcBorders/>
                </w:tcPr>
                <w:p>
                  <w:pPr>
                    <w:pStyle w:val="Normal"/>
                    <w:widowControl w:val="false"/>
                    <w:spacing w:lineRule="auto" w:line="240"/>
                    <w:ind w:hanging="0"/>
                    <w:rPr>
                      <w:sz w:val="22"/>
                    </w:rPr>
                  </w:pPr>
                  <w:r>
                    <w:rPr>
                      <w:sz w:val="22"/>
                    </w:rPr>
                    <w:t>Заказчик:</w:t>
                  </w:r>
                </w:p>
              </w:tc>
              <w:tc>
                <w:tcPr>
                  <w:tcW w:w="3968" w:type="dxa"/>
                  <w:tcBorders/>
                </w:tcPr>
                <w:p>
                  <w:pPr>
                    <w:pStyle w:val="Normal"/>
                    <w:widowControl w:val="false"/>
                    <w:spacing w:lineRule="auto" w:line="240"/>
                    <w:ind w:hanging="0"/>
                    <w:jc w:val="right"/>
                    <w:rPr>
                      <w:sz w:val="22"/>
                    </w:rPr>
                  </w:pPr>
                  <w:r>
                    <w:rPr>
                      <w:sz w:val="22"/>
                    </w:rPr>
                    <w:t>Подрядчик:</w:t>
                  </w:r>
                </w:p>
              </w:tc>
            </w:tr>
            <w:tr>
              <w:trPr/>
              <w:tc>
                <w:tcPr>
                  <w:tcW w:w="4002"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c>
                <w:tcPr>
                  <w:tcW w:w="3968" w:type="dxa"/>
                  <w:tcBorders/>
                  <w:shd w:color="auto" w:fill="auto" w:val="clear"/>
                </w:tcPr>
                <w:p>
                  <w:pPr>
                    <w:pStyle w:val="Normal"/>
                    <w:widowControl w:val="false"/>
                    <w:spacing w:lineRule="atLeast" w:line="0"/>
                    <w:ind w:hanging="0"/>
                    <w:rPr>
                      <w:sz w:val="22"/>
                      <w:szCs w:val="22"/>
                    </w:rPr>
                  </w:pPr>
                  <w:r>
                    <w:rPr>
                      <w:sz w:val="22"/>
                      <w:szCs w:val="22"/>
                    </w:rPr>
                  </w:r>
                </w:p>
              </w:tc>
            </w:tr>
          </w:tbl>
          <w:p>
            <w:pPr>
              <w:pStyle w:val="Title"/>
              <w:widowControl w:val="false"/>
              <w:shd w:val="clear" w:color="auto" w:fill="auto"/>
              <w:spacing w:before="0" w:after="120"/>
              <w:ind w:hanging="0"/>
              <w:jc w:val="left"/>
              <w:rPr>
                <w:b w:val="false"/>
                <w:i/>
                <w:i/>
                <w:iCs/>
              </w:rPr>
            </w:pPr>
            <w:r>
              <w:rPr>
                <w:b w:val="false"/>
                <w:i/>
                <w:iCs/>
              </w:rPr>
            </w:r>
          </w:p>
        </w:tc>
      </w:tr>
    </w:tbl>
    <w:p>
      <w:pPr>
        <w:pStyle w:val="Title"/>
        <w:ind w:hanging="0"/>
        <w:jc w:val="left"/>
        <w:rPr>
          <w:b w:val="false"/>
          <w:i/>
          <w:i/>
          <w:iCs/>
        </w:rPr>
      </w:pPr>
      <w:r>
        <w:rPr>
          <w:b w:val="false"/>
          <w:i/>
          <w:iCs/>
        </w:rPr>
      </w:r>
    </w:p>
    <w:p>
      <w:pPr>
        <w:pStyle w:val="Title"/>
        <w:ind w:firstLine="709"/>
        <w:jc w:val="left"/>
        <w:rPr>
          <w:b w:val="false"/>
          <w:sz w:val="24"/>
          <w:szCs w:val="24"/>
        </w:rPr>
      </w:pPr>
      <w:r>
        <w:rPr>
          <w:b w:val="false"/>
          <w:sz w:val="24"/>
          <w:szCs w:val="24"/>
        </w:rPr>
        <w:t>Форма согласована:</w:t>
      </w:r>
    </w:p>
    <w:tbl>
      <w:tblPr>
        <w:tblW w:w="818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8187"/>
      </w:tblGrid>
      <w:tr>
        <w:trPr/>
        <w:tc>
          <w:tcPr>
            <w:tcW w:w="8187" w:type="dxa"/>
            <w:tcBorders/>
          </w:tcPr>
          <w:p>
            <w:pPr>
              <w:pStyle w:val="Normal"/>
              <w:widowControl w:val="false"/>
              <w:rPr>
                <w:sz w:val="24"/>
                <w:szCs w:val="24"/>
              </w:rPr>
            </w:pPr>
            <w:r>
              <w:rPr>
                <w:sz w:val="24"/>
                <w:szCs w:val="24"/>
              </w:rPr>
            </w:r>
          </w:p>
          <w:tbl>
            <w:tblPr>
              <w:tblW w:w="79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2"/>
              <w:gridCol w:w="3968"/>
            </w:tblGrid>
            <w:tr>
              <w:trPr/>
              <w:tc>
                <w:tcPr>
                  <w:tcW w:w="4002" w:type="dxa"/>
                  <w:tcBorders/>
                </w:tcPr>
                <w:p>
                  <w:pPr>
                    <w:pStyle w:val="Normal"/>
                    <w:widowControl w:val="false"/>
                    <w:spacing w:lineRule="auto" w:line="240"/>
                    <w:ind w:hanging="0"/>
                    <w:rPr>
                      <w:sz w:val="24"/>
                      <w:szCs w:val="24"/>
                    </w:rPr>
                  </w:pPr>
                  <w:r>
                    <w:rPr>
                      <w:sz w:val="24"/>
                      <w:szCs w:val="24"/>
                    </w:rPr>
                    <w:t>Заказчик:</w:t>
                  </w:r>
                </w:p>
              </w:tc>
              <w:tc>
                <w:tcPr>
                  <w:tcW w:w="3968" w:type="dxa"/>
                  <w:tcBorders/>
                </w:tcPr>
                <w:p>
                  <w:pPr>
                    <w:pStyle w:val="Normal"/>
                    <w:widowControl w:val="false"/>
                    <w:spacing w:lineRule="auto" w:line="240"/>
                    <w:ind w:hanging="0"/>
                    <w:jc w:val="center"/>
                    <w:rPr>
                      <w:sz w:val="24"/>
                      <w:szCs w:val="24"/>
                    </w:rPr>
                  </w:pPr>
                  <w:r>
                    <w:rPr>
                      <w:sz w:val="24"/>
                      <w:szCs w:val="24"/>
                    </w:rPr>
                    <w:t>Подрядчик:</w:t>
                  </w:r>
                </w:p>
              </w:tc>
            </w:tr>
            <w:tr>
              <w:trPr/>
              <w:tc>
                <w:tcPr>
                  <w:tcW w:w="4002"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  </w:t>
                  </w:r>
                </w:p>
                <w:p>
                  <w:pPr>
                    <w:pStyle w:val="Normal"/>
                    <w:widowControl w:val="false"/>
                    <w:spacing w:lineRule="auto" w:line="240"/>
                    <w:ind w:hanging="0"/>
                    <w:rPr>
                      <w:sz w:val="24"/>
                      <w:szCs w:val="24"/>
                    </w:rPr>
                  </w:pPr>
                  <w:r>
                    <w:rPr>
                      <w:sz w:val="24"/>
                      <w:szCs w:val="24"/>
                    </w:rPr>
                    <w:t xml:space="preserve">М.П. </w:t>
                  </w:r>
                </w:p>
              </w:tc>
              <w:tc>
                <w:tcPr>
                  <w:tcW w:w="3968" w:type="dxa"/>
                  <w:tcBorders/>
                  <w:shd w:color="auto" w:fill="auto" w:val="clear"/>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4"/>
                      <w:szCs w:val="24"/>
                    </w:rPr>
                    <w:t>______________/________________/</w:t>
                  </w:r>
                </w:p>
                <w:p>
                  <w:pPr>
                    <w:pStyle w:val="Normal"/>
                    <w:widowControl w:val="false"/>
                    <w:spacing w:lineRule="atLeast" w:line="0"/>
                    <w:ind w:hanging="0"/>
                    <w:rPr/>
                  </w:pPr>
                  <w:r>
                    <w:rPr>
                      <w:sz w:val="24"/>
                      <w:szCs w:val="24"/>
                    </w:rPr>
                    <w:t>М.П.</w:t>
                  </w:r>
                </w:p>
              </w:tc>
            </w:tr>
          </w:tbl>
          <w:p>
            <w:pPr>
              <w:pStyle w:val="Normal"/>
              <w:widowControl w:val="false"/>
              <w:spacing w:lineRule="auto" w:line="240"/>
              <w:ind w:hanging="0"/>
              <w:rPr>
                <w:sz w:val="24"/>
                <w:szCs w:val="24"/>
              </w:rPr>
            </w:pPr>
            <w:r>
              <w:rPr>
                <w:sz w:val="24"/>
                <w:szCs w:val="24"/>
              </w:rPr>
            </w:r>
          </w:p>
        </w:tc>
      </w:tr>
      <w:tr>
        <w:trPr/>
        <w:tc>
          <w:tcPr>
            <w:tcW w:w="8187" w:type="dxa"/>
            <w:tcBorders/>
          </w:tcPr>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spacing w:lineRule="auto" w:line="240"/>
        <w:ind w:hanging="0"/>
        <w:jc w:val="left"/>
        <w:rPr>
          <w:sz w:val="24"/>
          <w:szCs w:val="24"/>
        </w:rPr>
      </w:pPr>
      <w:r>
        <w:rPr>
          <w:sz w:val="24"/>
          <w:szCs w:val="24"/>
        </w:rPr>
      </w:r>
      <w:r>
        <w:br w:type="page"/>
      </w:r>
    </w:p>
    <w:p>
      <w:pPr>
        <w:pStyle w:val="Normal"/>
        <w:spacing w:lineRule="auto" w:line="240"/>
        <w:ind w:hanging="0"/>
        <w:jc w:val="right"/>
        <w:rPr>
          <w:sz w:val="22"/>
          <w:szCs w:val="22"/>
        </w:rPr>
      </w:pPr>
      <w:r>
        <w:rPr>
          <w:sz w:val="22"/>
          <w:szCs w:val="22"/>
        </w:rPr>
        <w:t xml:space="preserve">                                       </w:t>
      </w:r>
      <w:r>
        <w:rPr>
          <w:sz w:val="22"/>
          <w:szCs w:val="22"/>
        </w:rPr>
        <w:t>Приложение № 4 к Договору подряда №____________ от _______2026 г.</w:t>
      </w:r>
    </w:p>
    <w:p>
      <w:pPr>
        <w:pStyle w:val="Normal"/>
        <w:spacing w:lineRule="auto" w:line="240"/>
        <w:ind w:hanging="0"/>
        <w:rPr>
          <w:sz w:val="24"/>
        </w:rPr>
      </w:pPr>
      <w:r>
        <w:rPr>
          <w:sz w:val="24"/>
        </w:rPr>
      </w:r>
    </w:p>
    <w:p>
      <w:pPr>
        <w:pStyle w:val="Normal"/>
        <w:spacing w:lineRule="auto" w:line="240"/>
        <w:ind w:hanging="0"/>
        <w:jc w:val="center"/>
        <w:rPr>
          <w:sz w:val="24"/>
          <w:szCs w:val="24"/>
        </w:rPr>
      </w:pPr>
      <w:r>
        <w:rPr>
          <w:sz w:val="24"/>
          <w:szCs w:val="24"/>
        </w:rPr>
        <w:t>Размер ответственности Подрядчика за нарушения</w:t>
      </w:r>
    </w:p>
    <w:p>
      <w:pPr>
        <w:pStyle w:val="Normal"/>
        <w:spacing w:lineRule="auto" w:line="240"/>
        <w:ind w:hanging="0"/>
        <w:jc w:val="center"/>
        <w:rPr>
          <w:sz w:val="24"/>
          <w:szCs w:val="24"/>
        </w:rPr>
      </w:pPr>
      <w:r>
        <w:rPr>
          <w:sz w:val="24"/>
          <w:szCs w:val="24"/>
        </w:rPr>
        <w:t>пропускного и внутриобъектового режима, требований охраны труда,</w:t>
      </w:r>
    </w:p>
    <w:p>
      <w:pPr>
        <w:pStyle w:val="Normal"/>
        <w:spacing w:lineRule="auto" w:line="240"/>
        <w:ind w:hanging="0"/>
        <w:jc w:val="center"/>
        <w:rPr>
          <w:sz w:val="24"/>
          <w:szCs w:val="24"/>
        </w:rPr>
      </w:pPr>
      <w:r>
        <w:rPr>
          <w:sz w:val="24"/>
          <w:szCs w:val="24"/>
        </w:rPr>
        <w:t>пожарной и промышленной безопасности</w:t>
      </w:r>
    </w:p>
    <w:p>
      <w:pPr>
        <w:pStyle w:val="Normal"/>
        <w:spacing w:lineRule="auto" w:line="24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67"/>
        <w:gridCol w:w="5969"/>
      </w:tblGrid>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Виды нарушений</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Штрафные санкции</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sz w:val="24"/>
                <w:szCs w:val="24"/>
              </w:rPr>
              <w:t xml:space="preserve"> </w:t>
            </w:r>
            <w:r>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sz w:val="24"/>
                <w:szCs w:val="24"/>
              </w:rPr>
              <w:t xml:space="preserve"> </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firstLine="708"/>
        <w:rPr>
          <w:sz w:val="24"/>
          <w:szCs w:val="24"/>
        </w:rPr>
      </w:pPr>
      <w:r>
        <w:rPr>
          <w:sz w:val="24"/>
          <w:szCs w:val="24"/>
        </w:rPr>
        <w:t>Заказчик имеет право предъявлять штрафные санкции к Подрядчику путем снижения цены договора, в случае выявления нарушений требований в области охраны труда, пожарной и промышленной безопасности согласно перечню.</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sz w:val="24"/>
                <w:szCs w:val="24"/>
              </w:rPr>
            </w:pPr>
            <w:r>
              <w:rPr>
                <w:sz w:val="24"/>
                <w:szCs w:val="24"/>
              </w:rPr>
              <w:t>Заказчик:</w:t>
            </w:r>
          </w:p>
        </w:tc>
        <w:tc>
          <w:tcPr>
            <w:tcW w:w="4785" w:type="dxa"/>
            <w:tcBorders/>
          </w:tcPr>
          <w:p>
            <w:pPr>
              <w:pStyle w:val="Normal"/>
              <w:widowControl w:val="false"/>
              <w:spacing w:lineRule="auto" w:line="240"/>
              <w:ind w:hanging="0"/>
              <w:rPr>
                <w:sz w:val="24"/>
                <w:szCs w:val="24"/>
              </w:rPr>
            </w:pPr>
            <w:r>
              <w:rPr>
                <w:sz w:val="24"/>
                <w:szCs w:val="24"/>
              </w:rPr>
              <w:t>Подрядчик:</w:t>
            </w:r>
          </w:p>
        </w:tc>
      </w:tr>
      <w:tr>
        <w:trPr/>
        <w:tc>
          <w:tcPr>
            <w:tcW w:w="4785"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________________/ _____________/</w:t>
            </w:r>
          </w:p>
          <w:p>
            <w:pPr>
              <w:pStyle w:val="Normal"/>
              <w:widowControl w:val="false"/>
              <w:spacing w:lineRule="auto" w:line="240"/>
              <w:ind w:hanging="0"/>
              <w:rPr>
                <w:sz w:val="24"/>
                <w:szCs w:val="24"/>
              </w:rPr>
            </w:pPr>
            <w:r>
              <w:rPr>
                <w:sz w:val="24"/>
                <w:szCs w:val="24"/>
              </w:rPr>
              <w:t xml:space="preserve">М.П. </w:t>
            </w:r>
          </w:p>
        </w:tc>
        <w:tc>
          <w:tcPr>
            <w:tcW w:w="4785" w:type="dxa"/>
            <w:tcBorders/>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4"/>
                <w:szCs w:val="24"/>
              </w:rPr>
              <w:t>______________/_________________/</w:t>
            </w:r>
          </w:p>
          <w:p>
            <w:pPr>
              <w:pStyle w:val="Normal"/>
              <w:widowControl w:val="false"/>
              <w:spacing w:lineRule="atLeast" w:line="0"/>
              <w:ind w:hanging="0"/>
              <w:rPr/>
            </w:pPr>
            <w:r>
              <w:rPr>
                <w:sz w:val="24"/>
                <w:szCs w:val="24"/>
              </w:rPr>
              <w:t>М.П.</w:t>
            </w:r>
          </w:p>
          <w:p>
            <w:pPr>
              <w:pStyle w:val="Normal"/>
              <w:widowControl w:val="false"/>
              <w:spacing w:lineRule="atLeast" w:line="0"/>
              <w:ind w:hanging="0"/>
              <w:rPr>
                <w:sz w:val="24"/>
                <w:szCs w:val="24"/>
              </w:rPr>
            </w:pPr>
            <w:r>
              <w:rPr>
                <w:sz w:val="24"/>
                <w:szCs w:val="24"/>
              </w:rPr>
            </w:r>
            <w:bookmarkStart w:id="25" w:name="RANGE!A1%2525252525252525252525253AAG42"/>
            <w:bookmarkStart w:id="26" w:name="RANGE!A1%2525252525252525252525253AAG40"/>
            <w:bookmarkStart w:id="27" w:name="RANGE!A1%2525252525252525252525253AAG42"/>
            <w:bookmarkStart w:id="28" w:name="RANGE!A1%2525252525252525252525253AAG40"/>
            <w:bookmarkEnd w:id="27"/>
            <w:bookmarkEnd w:id="28"/>
          </w:p>
        </w:tc>
      </w:tr>
    </w:tbl>
    <w:p>
      <w:pPr>
        <w:sectPr>
          <w:headerReference w:type="default" r:id="rId10"/>
          <w:footerReference w:type="default" r:id="rId11"/>
          <w:footerReference w:type="first" r:id="rId12"/>
          <w:type w:val="nextPage"/>
          <w:pgSz w:w="11906" w:h="16838"/>
          <w:pgMar w:left="1418" w:right="851" w:gutter="0" w:header="284" w:top="851" w:footer="284" w:bottom="851"/>
          <w:pgNumType w:fmt="decimal"/>
          <w:formProt w:val="false"/>
          <w:textDirection w:val="lrTb"/>
          <w:docGrid w:type="default" w:linePitch="360" w:charSpace="0"/>
        </w:sectPr>
      </w:pPr>
    </w:p>
    <w:p>
      <w:pPr>
        <w:pStyle w:val="Normal"/>
        <w:spacing w:lineRule="auto" w:line="240"/>
        <w:ind w:left="8789" w:hanging="0"/>
        <w:jc w:val="center"/>
        <w:rPr>
          <w:sz w:val="22"/>
          <w:szCs w:val="22"/>
        </w:rPr>
      </w:pPr>
      <w:bookmarkStart w:id="29" w:name="RANGE!A1%2525252525252525252525253AAG42_"/>
      <w:bookmarkStart w:id="30" w:name="RANGE!A1%2525252525252525252525253AAG40_"/>
      <w:bookmarkStart w:id="31" w:name="RANGE!A1%2525252525252525252525253AAG42_"/>
      <w:bookmarkStart w:id="32" w:name="RANGE!A1%2525252525252525252525253AAG40_"/>
      <w:bookmarkStart w:id="33" w:name="RANGE!A1%2525252525252525252525253AAG42_"/>
      <w:bookmarkStart w:id="34" w:name="RANGE!A1%2525252525252525252525253AAG40_"/>
      <w:bookmarkStart w:id="35" w:name="RANGE!A1%2525252525252525252525253AAG42_"/>
      <w:bookmarkStart w:id="36" w:name="RANGE!A1%2525252525252525252525253AAG40_"/>
      <w:bookmarkStart w:id="37" w:name="RANGE!A1%2525252525252525252525253AAG42_"/>
      <w:bookmarkStart w:id="38" w:name="RANGE!A1%2525252525252525252525253AAG40_"/>
      <w:bookmarkEnd w:id="29"/>
      <w:bookmarkEnd w:id="30"/>
      <w:bookmarkEnd w:id="31"/>
      <w:bookmarkEnd w:id="32"/>
      <w:bookmarkEnd w:id="33"/>
      <w:bookmarkEnd w:id="34"/>
      <w:bookmarkEnd w:id="35"/>
      <w:bookmarkEnd w:id="36"/>
      <w:bookmarkEnd w:id="37"/>
      <w:bookmarkEnd w:id="38"/>
      <w:r>
        <w:rPr>
          <w:sz w:val="22"/>
          <w:szCs w:val="22"/>
        </w:rPr>
        <w:t>Приложение № 5 к Договору подряда №____________ от_______2026 г.</w:t>
      </w:r>
    </w:p>
    <w:p>
      <w:pPr>
        <w:pStyle w:val="Normal"/>
        <w:spacing w:lineRule="auto" w:line="240"/>
        <w:ind w:left="8789" w:hanging="0"/>
        <w:jc w:val="center"/>
        <w:rPr>
          <w:sz w:val="24"/>
          <w:szCs w:val="24"/>
        </w:rPr>
      </w:pPr>
      <w:r>
        <w:rPr>
          <w:sz w:val="24"/>
          <w:szCs w:val="24"/>
        </w:rPr>
      </w:r>
    </w:p>
    <w:p>
      <w:pPr>
        <w:pStyle w:val="Normal"/>
        <w:spacing w:lineRule="auto" w:line="240"/>
        <w:ind w:hanging="0"/>
        <w:jc w:val="center"/>
        <w:rPr>
          <w:sz w:val="24"/>
          <w:szCs w:val="24"/>
        </w:rPr>
      </w:pPr>
      <w:r>
        <w:rPr>
          <w:sz w:val="24"/>
          <w:szCs w:val="24"/>
        </w:rPr>
        <w:t xml:space="preserve">Форма справки о заключенных договорах Подрядчика по договору с Субподрядчиками, </w:t>
      </w:r>
    </w:p>
    <w:p>
      <w:pPr>
        <w:pStyle w:val="Normal"/>
        <w:spacing w:lineRule="auto" w:line="240"/>
        <w:ind w:hanging="0"/>
        <w:jc w:val="center"/>
        <w:rPr>
          <w:sz w:val="24"/>
          <w:szCs w:val="24"/>
        </w:rPr>
      </w:pPr>
      <w:r>
        <w:rPr>
          <w:sz w:val="24"/>
          <w:szCs w:val="24"/>
        </w:rPr>
        <w:t>являющимися субъектами малого и среднего предпринимательства</w:t>
      </w:r>
    </w:p>
    <w:p>
      <w:pPr>
        <w:pStyle w:val="Normal"/>
        <w:spacing w:lineRule="auto" w:line="240"/>
        <w:ind w:hanging="0"/>
        <w:jc w:val="right"/>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87"/>
        <w:gridCol w:w="862"/>
        <w:gridCol w:w="2883"/>
        <w:gridCol w:w="1010"/>
        <w:gridCol w:w="3464"/>
        <w:gridCol w:w="2156"/>
        <w:gridCol w:w="2742"/>
        <w:gridCol w:w="2298"/>
      </w:tblGrid>
      <w:tr>
        <w:trPr>
          <w:trHeight w:val="1327" w:hRule="atLeast"/>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Юр./Физ. лицо</w:t>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ИНН/КПП/ОКПО/ОКОПФ</w:t>
            </w:r>
          </w:p>
        </w:tc>
        <w:tc>
          <w:tcPr>
            <w:tcW w:w="22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Наименование закупаемой продукции/код ОКДП/ОКПД</w:t>
            </w:r>
          </w:p>
        </w:tc>
      </w:tr>
      <w:tr>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lang w:val="en-US"/>
              </w:rPr>
            </w:pPr>
            <w:r>
              <w:rPr>
                <w:sz w:val="18"/>
                <w:szCs w:val="20"/>
                <w:lang w:val="en-US"/>
              </w:rPr>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2</w:t>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3</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4</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5</w:t>
            </w:r>
          </w:p>
        </w:tc>
        <w:tc>
          <w:tcPr>
            <w:tcW w:w="2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6</w:t>
            </w:r>
          </w:p>
        </w:tc>
        <w:tc>
          <w:tcPr>
            <w:tcW w:w="22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7</w:t>
            </w:r>
          </w:p>
        </w:tc>
      </w:tr>
      <w:tr>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lang w:val="en-US"/>
              </w:rPr>
            </w:pPr>
            <w:r>
              <w:rPr>
                <w:i/>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c>
          <w:tcPr>
            <w:tcW w:w="22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r>
    </w:tbl>
    <w:p>
      <w:pPr>
        <w:pStyle w:val="Normal"/>
        <w:spacing w:lineRule="auto" w:line="240"/>
        <w:ind w:right="-1" w:hanging="0"/>
        <w:rPr>
          <w:sz w:val="20"/>
          <w:szCs w:val="20"/>
        </w:rPr>
      </w:pPr>
      <w:r>
        <w:rPr>
          <w:sz w:val="20"/>
          <w:szCs w:val="20"/>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738"/>
        <w:gridCol w:w="2018"/>
        <w:gridCol w:w="2017"/>
        <w:gridCol w:w="2449"/>
        <w:gridCol w:w="1440"/>
        <w:gridCol w:w="1440"/>
        <w:gridCol w:w="867"/>
        <w:gridCol w:w="2733"/>
      </w:tblGrid>
      <w:tr>
        <w:trPr>
          <w:trHeight w:val="1289" w:hRule="atLeast"/>
        </w:trPr>
        <w:tc>
          <w:tcPr>
            <w:tcW w:w="2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Страна происхождения товара/регистрации производителя товара</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Номер заключенного договора</w:t>
            </w:r>
          </w:p>
        </w:tc>
        <w:tc>
          <w:tcPr>
            <w:tcW w:w="20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заключения договора</w:t>
            </w:r>
          </w:p>
        </w:tc>
        <w:tc>
          <w:tcPr>
            <w:tcW w:w="24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Срок начала исполнения договора/срок окончания исполнения договора</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Стоимость договора (без НДС)</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r>
          </w:p>
          <w:p>
            <w:pPr>
              <w:pStyle w:val="Normal"/>
              <w:widowControl w:val="false"/>
              <w:spacing w:lineRule="auto" w:line="240"/>
              <w:ind w:hanging="0"/>
              <w:jc w:val="center"/>
              <w:rPr>
                <w:sz w:val="18"/>
                <w:szCs w:val="20"/>
              </w:rPr>
            </w:pPr>
            <w:r>
              <w:rPr>
                <w:sz w:val="18"/>
                <w:szCs w:val="20"/>
              </w:rPr>
              <w:t>Стоимость договора (с</w:t>
            </w:r>
          </w:p>
          <w:p>
            <w:pPr>
              <w:pStyle w:val="Normal"/>
              <w:widowControl w:val="false"/>
              <w:spacing w:lineRule="auto" w:line="240"/>
              <w:ind w:hanging="0"/>
              <w:jc w:val="center"/>
              <w:rPr>
                <w:sz w:val="18"/>
                <w:szCs w:val="20"/>
              </w:rPr>
            </w:pPr>
            <w:r>
              <w:rPr>
                <w:sz w:val="18"/>
                <w:szCs w:val="20"/>
              </w:rPr>
              <w:t>НДС)</w:t>
            </w:r>
          </w:p>
          <w:p>
            <w:pPr>
              <w:pStyle w:val="Normal"/>
              <w:widowControl w:val="false"/>
              <w:spacing w:lineRule="auto" w:line="240"/>
              <w:ind w:hanging="0"/>
              <w:jc w:val="center"/>
              <w:rPr>
                <w:sz w:val="18"/>
                <w:szCs w:val="20"/>
              </w:rPr>
            </w:pPr>
            <w:r>
              <w:rPr>
                <w:sz w:val="18"/>
                <w:szCs w:val="20"/>
              </w:rPr>
            </w:r>
          </w:p>
        </w:tc>
        <w:tc>
          <w:tcPr>
            <w:tcW w:w="8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 xml:space="preserve">Валюта </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Критерий отнесения организации (микропредприятие/малое предприятие/средние предприятие) *</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8</w:t>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9</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10</w:t>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11</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13</w:t>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right="113" w:hanging="0"/>
              <w:jc w:val="center"/>
              <w:rPr>
                <w:sz w:val="18"/>
                <w:szCs w:val="20"/>
              </w:rPr>
            </w:pPr>
            <w:r>
              <w:rPr>
                <w:sz w:val="18"/>
                <w:szCs w:val="20"/>
              </w:rPr>
              <w:t>14</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right="113" w:hanging="0"/>
              <w:jc w:val="center"/>
              <w:rPr>
                <w:sz w:val="18"/>
                <w:szCs w:val="20"/>
              </w:rPr>
            </w:pPr>
            <w:r>
              <w:rPr>
                <w:sz w:val="18"/>
                <w:szCs w:val="20"/>
              </w:rPr>
              <w:t>15</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r>
    </w:tbl>
    <w:p>
      <w:pPr>
        <w:pStyle w:val="Normal"/>
        <w:widowControl w:val="false"/>
        <w:spacing w:lineRule="auto" w:line="240"/>
        <w:ind w:hanging="0"/>
        <w:jc w:val="left"/>
        <w:rPr>
          <w:sz w:val="24"/>
          <w:szCs w:val="24"/>
        </w:rPr>
      </w:pPr>
      <w:r>
        <w:rPr>
          <w:sz w:val="24"/>
          <w:szCs w:val="24"/>
        </w:rPr>
      </w:r>
    </w:p>
    <w:p>
      <w:pPr>
        <w:pStyle w:val="Normal"/>
        <w:spacing w:lineRule="auto" w:line="240"/>
        <w:ind w:hanging="0"/>
        <w:jc w:val="center"/>
        <w:rPr>
          <w:spacing w:val="2"/>
          <w:sz w:val="24"/>
          <w:szCs w:val="24"/>
          <w:highlight w:val="yellow"/>
        </w:rPr>
      </w:pPr>
      <w:r>
        <w:rPr>
          <w:spacing w:val="2"/>
          <w:sz w:val="24"/>
          <w:szCs w:val="24"/>
          <w:highlight w:val="yellow"/>
        </w:rPr>
      </w:r>
    </w:p>
    <w:tbl>
      <w:tblPr>
        <w:tblW w:w="158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513"/>
        <w:gridCol w:w="8327"/>
      </w:tblGrid>
      <w:tr>
        <w:trPr/>
        <w:tc>
          <w:tcPr>
            <w:tcW w:w="7513" w:type="dxa"/>
            <w:tcBorders/>
          </w:tcPr>
          <w:p>
            <w:pPr>
              <w:pStyle w:val="Normal"/>
              <w:widowControl w:val="false"/>
              <w:spacing w:lineRule="auto" w:line="240"/>
              <w:ind w:hanging="0"/>
              <w:rPr>
                <w:sz w:val="24"/>
                <w:szCs w:val="24"/>
              </w:rPr>
            </w:pPr>
            <w:r>
              <w:rPr>
                <w:sz w:val="24"/>
                <w:szCs w:val="24"/>
              </w:rPr>
              <w:t>Заказчик:</w:t>
            </w:r>
          </w:p>
        </w:tc>
        <w:tc>
          <w:tcPr>
            <w:tcW w:w="8327" w:type="dxa"/>
            <w:tcBorders/>
          </w:tcPr>
          <w:p>
            <w:pPr>
              <w:pStyle w:val="Normal"/>
              <w:widowControl w:val="false"/>
              <w:spacing w:lineRule="auto" w:line="240"/>
              <w:ind w:hanging="0"/>
              <w:rPr>
                <w:sz w:val="24"/>
                <w:szCs w:val="24"/>
              </w:rPr>
            </w:pPr>
            <w:r>
              <w:rPr>
                <w:sz w:val="24"/>
                <w:szCs w:val="24"/>
              </w:rPr>
              <w:t>Подрядчик:</w:t>
            </w:r>
          </w:p>
        </w:tc>
      </w:tr>
      <w:tr>
        <w:trPr/>
        <w:tc>
          <w:tcPr>
            <w:tcW w:w="7513" w:type="dxa"/>
            <w:tcBorders/>
          </w:tcPr>
          <w:p>
            <w:pPr>
              <w:pStyle w:val="Normal"/>
              <w:widowControl w:val="false"/>
              <w:spacing w:lineRule="auto" w:line="240"/>
              <w:ind w:hanging="0"/>
              <w:jc w:val="left"/>
              <w:rPr>
                <w:sz w:val="24"/>
                <w:szCs w:val="24"/>
              </w:rPr>
            </w:pPr>
            <w:r>
              <w:rPr>
                <w:sz w:val="24"/>
                <w:szCs w:val="24"/>
              </w:rPr>
              <w:t xml:space="preserve">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______________/  </w:t>
            </w:r>
          </w:p>
          <w:p>
            <w:pPr>
              <w:pStyle w:val="Normal"/>
              <w:widowControl w:val="false"/>
              <w:spacing w:lineRule="auto" w:line="240"/>
              <w:ind w:hanging="0"/>
              <w:rPr>
                <w:sz w:val="24"/>
                <w:szCs w:val="24"/>
              </w:rPr>
            </w:pPr>
            <w:r>
              <w:rPr>
                <w:sz w:val="24"/>
                <w:szCs w:val="24"/>
              </w:rPr>
              <w:t>М.П.</w:t>
            </w:r>
          </w:p>
        </w:tc>
        <w:tc>
          <w:tcPr>
            <w:tcW w:w="8327" w:type="dxa"/>
            <w:tcBorders/>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2"/>
                <w:szCs w:val="22"/>
              </w:rPr>
              <w:t>___________________/_________________/</w:t>
            </w:r>
          </w:p>
          <w:p>
            <w:pPr>
              <w:pStyle w:val="Normal"/>
              <w:widowControl w:val="false"/>
              <w:spacing w:lineRule="atLeast" w:line="0"/>
              <w:ind w:hanging="0"/>
              <w:rPr/>
            </w:pPr>
            <w:r>
              <w:rPr>
                <w:sz w:val="22"/>
                <w:szCs w:val="22"/>
              </w:rPr>
              <w:t>М.П.</w:t>
            </w:r>
          </w:p>
          <w:p>
            <w:pPr>
              <w:pStyle w:val="Normal"/>
              <w:widowControl w:val="false"/>
              <w:spacing w:lineRule="atLeast" w:line="0"/>
              <w:ind w:hanging="0"/>
              <w:rPr>
                <w:sz w:val="24"/>
                <w:szCs w:val="24"/>
              </w:rPr>
            </w:pPr>
            <w:r>
              <w:rPr>
                <w:sz w:val="24"/>
                <w:szCs w:val="24"/>
              </w:rPr>
            </w:r>
          </w:p>
        </w:tc>
      </w:tr>
    </w:tbl>
    <w:p>
      <w:pPr>
        <w:pStyle w:val="Normal"/>
        <w:spacing w:lineRule="auto" w:line="240"/>
        <w:ind w:hanging="0"/>
        <w:jc w:val="left"/>
        <w:rPr>
          <w:sz w:val="24"/>
          <w:szCs w:val="24"/>
        </w:rPr>
      </w:pPr>
      <w:r>
        <w:rPr>
          <w:sz w:val="24"/>
          <w:szCs w:val="24"/>
        </w:rPr>
      </w:r>
    </w:p>
    <w:p>
      <w:pPr>
        <w:pStyle w:val="Normal"/>
        <w:rPr/>
      </w:pPr>
      <w:r>
        <w:rPr/>
      </w:r>
    </w:p>
    <w:p>
      <w:pPr>
        <w:pStyle w:val="Normal"/>
        <w:rPr/>
      </w:pPr>
      <w:r>
        <w:rPr/>
      </w:r>
    </w:p>
    <w:sectPr>
      <w:headerReference w:type="default" r:id="rId13"/>
      <w:headerReference w:type="first" r:id="rId14"/>
      <w:footerReference w:type="default" r:id="rId15"/>
      <w:footerReference w:type="first" r:id="rId16"/>
      <w:type w:val="nextPage"/>
      <w:pgSz w:orient="landscape" w:w="16838" w:h="11906"/>
      <w:pgMar w:left="567" w:right="567"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Courier New">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t xml:space="preserve"> </w:t>
    </w:r>
    <w:r>
      <w:rPr>
        <w:sz w:val="20"/>
        <w:szCs w:val="20"/>
      </w:rPr>
      <w:t xml:space="preserve">PAGE   \* MERGEFORMAT </w:t>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Fonts w:ascii="Times New Roman" w:hAnsi="Times New Roman" w:eastAsia="Times New Roman" w:cs="Times New Roman"/>
      </w:rPr>
    </w:lvl>
    <w:lvl w:ilvl="1">
      <w:start w:val="1"/>
      <w:numFmt w:val="decimal"/>
      <w:lvlText w:val="%1.%2."/>
      <w:lvlJc w:val="left"/>
      <w:pPr>
        <w:tabs>
          <w:tab w:val="num" w:pos="0"/>
        </w:tabs>
        <w:ind w:left="432" w:hanging="432"/>
      </w:pPr>
      <w:rPr>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2"/>
      <w:numFmt w:val="decimal"/>
      <w:lvlText w:val="%1."/>
      <w:lvlJc w:val="left"/>
      <w:pPr>
        <w:tabs>
          <w:tab w:val="num" w:pos="0"/>
        </w:tabs>
        <w:ind w:left="360" w:hanging="360"/>
      </w:pPr>
      <w:rPr>
        <w:i w:val="false"/>
        <w:u w:val="none"/>
        <w:b/>
      </w:rPr>
    </w:lvl>
    <w:lvl w:ilvl="1">
      <w:start w:val="1"/>
      <w:numFmt w:val="decimal"/>
      <w:lvlText w:val="%1.%2."/>
      <w:lvlJc w:val="left"/>
      <w:pPr>
        <w:tabs>
          <w:tab w:val="num" w:pos="0"/>
        </w:tabs>
        <w:ind w:left="928" w:hanging="360"/>
      </w:pPr>
      <w:rPr>
        <w:u w:val="none"/>
        <w:b w:val="false"/>
      </w:rPr>
    </w:lvl>
    <w:lvl w:ilvl="2">
      <w:start w:val="1"/>
      <w:numFmt w:val="decimal"/>
      <w:lvlText w:val="%1.%2.%3."/>
      <w:lvlJc w:val="left"/>
      <w:pPr>
        <w:tabs>
          <w:tab w:val="num" w:pos="0"/>
        </w:tabs>
        <w:ind w:left="2138" w:hanging="720"/>
      </w:pPr>
      <w:rPr>
        <w:u w:val="none"/>
      </w:rPr>
    </w:lvl>
    <w:lvl w:ilvl="3">
      <w:start w:val="1"/>
      <w:numFmt w:val="decimal"/>
      <w:lvlText w:val="%1.%2.%3.%4."/>
      <w:lvlJc w:val="left"/>
      <w:pPr>
        <w:tabs>
          <w:tab w:val="num" w:pos="0"/>
        </w:tabs>
        <w:ind w:left="2847" w:hanging="720"/>
      </w:pPr>
      <w:rPr>
        <w:u w:val="none"/>
      </w:rPr>
    </w:lvl>
    <w:lvl w:ilvl="4">
      <w:start w:val="1"/>
      <w:numFmt w:val="decimal"/>
      <w:lvlText w:val="%1.%2.%3.%4.%5."/>
      <w:lvlJc w:val="left"/>
      <w:pPr>
        <w:tabs>
          <w:tab w:val="num" w:pos="0"/>
        </w:tabs>
        <w:ind w:left="3916" w:hanging="1080"/>
      </w:pPr>
      <w:rPr>
        <w:u w:val="single"/>
      </w:rPr>
    </w:lvl>
    <w:lvl w:ilvl="5">
      <w:start w:val="1"/>
      <w:numFmt w:val="decimal"/>
      <w:lvlText w:val="%1.%2.%3.%4.%5.%6."/>
      <w:lvlJc w:val="left"/>
      <w:pPr>
        <w:tabs>
          <w:tab w:val="num" w:pos="0"/>
        </w:tabs>
        <w:ind w:left="4625" w:hanging="1080"/>
      </w:pPr>
      <w:rPr>
        <w:u w:val="single"/>
      </w:rPr>
    </w:lvl>
    <w:lvl w:ilvl="6">
      <w:start w:val="1"/>
      <w:numFmt w:val="decimal"/>
      <w:lvlText w:val="%1.%2.%3.%4.%5.%6.%7."/>
      <w:lvlJc w:val="left"/>
      <w:pPr>
        <w:tabs>
          <w:tab w:val="num" w:pos="0"/>
        </w:tabs>
        <w:ind w:left="5694" w:hanging="1440"/>
      </w:pPr>
      <w:rPr>
        <w:u w:val="single"/>
      </w:rPr>
    </w:lvl>
    <w:lvl w:ilvl="7">
      <w:start w:val="1"/>
      <w:numFmt w:val="decimal"/>
      <w:lvlText w:val="%1.%2.%3.%4.%5.%6.%7.%8."/>
      <w:lvlJc w:val="left"/>
      <w:pPr>
        <w:tabs>
          <w:tab w:val="num" w:pos="0"/>
        </w:tabs>
        <w:ind w:left="6403" w:hanging="1440"/>
      </w:pPr>
      <w:rPr>
        <w:u w:val="single"/>
      </w:rPr>
    </w:lvl>
    <w:lvl w:ilvl="8">
      <w:start w:val="1"/>
      <w:numFmt w:val="decimal"/>
      <w:lvlText w:val="%1.%2.%3.%4.%5.%6.%7.%8.%9."/>
      <w:lvlJc w:val="left"/>
      <w:pPr>
        <w:tabs>
          <w:tab w:val="num" w:pos="0"/>
        </w:tabs>
        <w:ind w:left="7472" w:hanging="1800"/>
      </w:pPr>
      <w:rPr>
        <w:u w:val="single"/>
      </w:rPr>
    </w:lvl>
  </w:abstractNum>
  <w:abstractNum w:abstractNumId="6">
    <w:lvl w:ilvl="0">
      <w:start w:val="2"/>
      <w:numFmt w:val="decimal"/>
      <w:lvlText w:val="%1"/>
      <w:lvlJc w:val="left"/>
      <w:pPr>
        <w:tabs>
          <w:tab w:val="num" w:pos="0"/>
        </w:tabs>
        <w:ind w:left="600" w:hanging="600"/>
      </w:pPr>
      <w:rPr>
        <w:sz w:val="28"/>
      </w:rPr>
    </w:lvl>
    <w:lvl w:ilvl="1">
      <w:start w:val="4"/>
      <w:numFmt w:val="decimal"/>
      <w:lvlText w:val="%1.%2"/>
      <w:lvlJc w:val="left"/>
      <w:pPr>
        <w:tabs>
          <w:tab w:val="num" w:pos="0"/>
        </w:tabs>
        <w:ind w:left="2301" w:hanging="600"/>
      </w:pPr>
      <w:rPr>
        <w:sz w:val="28"/>
      </w:rPr>
    </w:lvl>
    <w:lvl w:ilvl="2">
      <w:start w:val="1"/>
      <w:numFmt w:val="decimal"/>
      <w:lvlText w:val="%1.%2.%3"/>
      <w:lvlJc w:val="left"/>
      <w:pPr>
        <w:tabs>
          <w:tab w:val="num" w:pos="0"/>
        </w:tabs>
        <w:ind w:left="4122" w:hanging="720"/>
      </w:pPr>
      <w:rPr>
        <w:sz w:val="24"/>
        <w:szCs w:val="24"/>
      </w:rPr>
    </w:lvl>
    <w:lvl w:ilvl="3">
      <w:start w:val="1"/>
      <w:numFmt w:val="decimal"/>
      <w:lvlText w:val="%1.%2.%3.%4"/>
      <w:lvlJc w:val="left"/>
      <w:pPr>
        <w:tabs>
          <w:tab w:val="num" w:pos="0"/>
        </w:tabs>
        <w:ind w:left="5823" w:hanging="720"/>
      </w:pPr>
      <w:rPr>
        <w:sz w:val="28"/>
      </w:rPr>
    </w:lvl>
    <w:lvl w:ilvl="4">
      <w:start w:val="1"/>
      <w:numFmt w:val="decimal"/>
      <w:lvlText w:val="%1.%2.%3.%4.%5"/>
      <w:lvlJc w:val="left"/>
      <w:pPr>
        <w:tabs>
          <w:tab w:val="num" w:pos="0"/>
        </w:tabs>
        <w:ind w:left="7884" w:hanging="1080"/>
      </w:pPr>
      <w:rPr>
        <w:sz w:val="28"/>
      </w:rPr>
    </w:lvl>
    <w:lvl w:ilvl="5">
      <w:start w:val="1"/>
      <w:numFmt w:val="decimal"/>
      <w:lvlText w:val="%1.%2.%3.%4.%5.%6"/>
      <w:lvlJc w:val="left"/>
      <w:pPr>
        <w:tabs>
          <w:tab w:val="num" w:pos="0"/>
        </w:tabs>
        <w:ind w:left="9585" w:hanging="1080"/>
      </w:pPr>
      <w:rPr>
        <w:sz w:val="28"/>
      </w:rPr>
    </w:lvl>
    <w:lvl w:ilvl="6">
      <w:start w:val="1"/>
      <w:numFmt w:val="decimal"/>
      <w:lvlText w:val="%1.%2.%3.%4.%5.%6.%7"/>
      <w:lvlJc w:val="left"/>
      <w:pPr>
        <w:tabs>
          <w:tab w:val="num" w:pos="0"/>
        </w:tabs>
        <w:ind w:left="11646" w:hanging="1440"/>
      </w:pPr>
      <w:rPr>
        <w:sz w:val="28"/>
      </w:rPr>
    </w:lvl>
    <w:lvl w:ilvl="7">
      <w:start w:val="1"/>
      <w:numFmt w:val="decimal"/>
      <w:lvlText w:val="%1.%2.%3.%4.%5.%6.%7.%8"/>
      <w:lvlJc w:val="left"/>
      <w:pPr>
        <w:tabs>
          <w:tab w:val="num" w:pos="0"/>
        </w:tabs>
        <w:ind w:left="13347" w:hanging="1440"/>
      </w:pPr>
      <w:rPr>
        <w:sz w:val="28"/>
      </w:rPr>
    </w:lvl>
    <w:lvl w:ilvl="8">
      <w:start w:val="1"/>
      <w:numFmt w:val="decimal"/>
      <w:lvlText w:val="%1.%2.%3.%4.%5.%6.%7.%8.%9"/>
      <w:lvlJc w:val="left"/>
      <w:pPr>
        <w:tabs>
          <w:tab w:val="num" w:pos="0"/>
        </w:tabs>
        <w:ind w:left="15408" w:hanging="1800"/>
      </w:pPr>
      <w:rPr>
        <w:sz w:val="28"/>
      </w:rPr>
    </w:lvl>
  </w:abstractNum>
  <w:abstractNum w:abstractNumId="7">
    <w:lvl w:ilvl="0">
      <w:start w:val="2"/>
      <w:numFmt w:val="decimal"/>
      <w:lvlText w:val="%1."/>
      <w:lvlJc w:val="left"/>
      <w:pPr>
        <w:tabs>
          <w:tab w:val="num" w:pos="0"/>
        </w:tabs>
        <w:ind w:left="675" w:hanging="675"/>
      </w:pPr>
      <w:rPr/>
    </w:lvl>
    <w:lvl w:ilvl="1">
      <w:start w:val="4"/>
      <w:numFmt w:val="decimal"/>
      <w:lvlText w:val="%1.%2."/>
      <w:lvlJc w:val="left"/>
      <w:pPr>
        <w:tabs>
          <w:tab w:val="num" w:pos="0"/>
        </w:tabs>
        <w:ind w:left="2421" w:hanging="720"/>
      </w:pPr>
      <w:rPr/>
    </w:lvl>
    <w:lvl w:ilvl="2">
      <w:start w:val="2"/>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8">
    <w:lvl w:ilvl="0">
      <w:start w:val="12"/>
      <w:numFmt w:val="decimal"/>
      <w:lvlText w:val="%1."/>
      <w:lvlJc w:val="left"/>
      <w:pPr>
        <w:tabs>
          <w:tab w:val="num" w:pos="0"/>
        </w:tabs>
        <w:ind w:left="600" w:hanging="600"/>
      </w:pPr>
      <w:rPr>
        <w:b/>
      </w:rPr>
    </w:lvl>
    <w:lvl w:ilvl="1">
      <w:start w:val="1"/>
      <w:numFmt w:val="decimal"/>
      <w:lvlText w:val="%1.%2."/>
      <w:lvlJc w:val="left"/>
      <w:pPr>
        <w:tabs>
          <w:tab w:val="num" w:pos="0"/>
        </w:tabs>
        <w:ind w:left="2421"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9">
    <w:lvl w:ilvl="0">
      <w:start w:val="4"/>
      <w:numFmt w:val="decimal"/>
      <w:lvlText w:val="%1."/>
      <w:lvlJc w:val="left"/>
      <w:pPr>
        <w:tabs>
          <w:tab w:val="num" w:pos="0"/>
        </w:tabs>
        <w:ind w:left="450" w:hanging="450"/>
      </w:pPr>
      <w:rPr>
        <w:b/>
      </w:rPr>
    </w:lvl>
    <w:lvl w:ilvl="1">
      <w:start w:val="1"/>
      <w:numFmt w:val="decimal"/>
      <w:lvlText w:val="%1.%2."/>
      <w:lvlJc w:val="left"/>
      <w:pPr>
        <w:tabs>
          <w:tab w:val="num" w:pos="0"/>
        </w:tabs>
        <w:ind w:left="2421" w:hanging="720"/>
      </w:pPr>
      <w:rPr>
        <w:color w:val="auto"/>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1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3"/>
      <w:numFmt w:val="decimal"/>
      <w:lvlText w:val="%1."/>
      <w:lvlJc w:val="left"/>
      <w:pPr>
        <w:tabs>
          <w:tab w:val="num" w:pos="0"/>
        </w:tabs>
        <w:ind w:left="450" w:hanging="450"/>
      </w:pPr>
      <w:rPr/>
    </w:lvl>
    <w:lvl w:ilvl="1">
      <w:start w:val="2"/>
      <w:numFmt w:val="decimal"/>
      <w:lvlText w:val="%1.%2."/>
      <w:lvlJc w:val="left"/>
      <w:pPr>
        <w:tabs>
          <w:tab w:val="num" w:pos="0"/>
        </w:tabs>
        <w:ind w:left="1713"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24">
    <w:lvl w:ilvl="0">
      <w:start w:val="1"/>
      <w:numFmt w:val="bullet"/>
      <w:lvlText w:val="–"/>
      <w:lvlJc w:val="left"/>
      <w:pPr>
        <w:tabs>
          <w:tab w:val="num" w:pos="0"/>
        </w:tabs>
        <w:ind w:left="720" w:hanging="360"/>
      </w:pPr>
      <w:rPr>
        <w:rFonts w:ascii="Arial" w:hAnsi="Arial" w:cs="Arial" w:hint="default"/>
        <w:highlight w:val="whit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next w:val="Normal"/>
    <w:link w:val="11"/>
    <w:qFormat/>
    <w:pPr>
      <w:keepNext w:val="true"/>
      <w:spacing w:before="240" w:after="60"/>
      <w:outlineLvl w:val="0"/>
    </w:pPr>
    <w:rPr>
      <w:rFonts w:ascii="Cambria" w:hAnsi="Cambria"/>
      <w:b/>
      <w:bCs/>
      <w:sz w:val="32"/>
      <w:szCs w:val="32"/>
    </w:rPr>
  </w:style>
  <w:style w:type="paragraph" w:styleId="Heading2">
    <w:name w:val="Heading 2"/>
    <w:basedOn w:val="Normal"/>
    <w:next w:val="Normal"/>
    <w:link w:val="21"/>
    <w:qFormat/>
    <w:pPr>
      <w:keepNext w:val="true"/>
      <w:spacing w:before="240" w:after="60"/>
      <w:outlineLvl w:val="1"/>
    </w:pPr>
    <w:rPr>
      <w:rFonts w:ascii="Cambria" w:hAnsi="Cambria"/>
      <w:b/>
      <w:bCs/>
      <w:i/>
      <w:iCs/>
    </w:rPr>
  </w:style>
  <w:style w:type="paragraph" w:styleId="Heading3">
    <w:name w:val="Heading 3"/>
    <w:basedOn w:val="Normal"/>
    <w:next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2">
    <w:name w:val="Символ сноски"/>
    <w:uiPriority w:val="99"/>
    <w:qFormat/>
    <w:rPr>
      <w:vertAlign w:val="superscript"/>
    </w:rPr>
  </w:style>
  <w:style w:type="character" w:styleId="FootnoteReference">
    <w:name w:val="Footnote Reference"/>
    <w:rPr>
      <w:vertAlign w:val="superscript"/>
    </w:rPr>
  </w:style>
  <w:style w:type="character" w:styleId="3" w:customStyle="1">
    <w:name w:val="Заголовок 3 Знак"/>
    <w:uiPriority w:val="9"/>
    <w:qFormat/>
    <w:rPr>
      <w:b/>
      <w:sz w:val="28"/>
    </w:rPr>
  </w:style>
  <w:style w:type="character" w:styleId="31" w:customStyle="1">
    <w:name w:val="3. Подпункт Знак"/>
    <w:link w:val="33"/>
    <w:qFormat/>
    <w:rPr>
      <w:b/>
      <w:bCs/>
      <w:sz w:val="24"/>
      <w:szCs w:val="24"/>
    </w:rPr>
  </w:style>
  <w:style w:type="character" w:styleId="Style3" w:customStyle="1">
    <w:name w:val="Текст выноски Знак"/>
    <w:link w:val="BalloonText"/>
    <w:qFormat/>
    <w:rPr>
      <w:rFonts w:ascii="Tahoma" w:hAnsi="Tahoma" w:cs="Tahoma"/>
      <w:sz w:val="16"/>
      <w:szCs w:val="16"/>
    </w:rPr>
  </w:style>
  <w:style w:type="character" w:styleId="1" w:customStyle="1">
    <w:name w:val="1. Статья Знак"/>
    <w:link w:val="12"/>
    <w:qFormat/>
    <w:rPr>
      <w:sz w:val="24"/>
      <w:szCs w:val="24"/>
    </w:rPr>
  </w:style>
  <w:style w:type="character" w:styleId="41" w:customStyle="1">
    <w:name w:val="4. Отчерк Знак"/>
    <w:link w:val="42"/>
    <w:qFormat/>
    <w:rPr>
      <w:sz w:val="24"/>
      <w:szCs w:val="24"/>
    </w:rPr>
  </w:style>
  <w:style w:type="character" w:styleId="Annotationreference">
    <w:name w:val="annotation reference"/>
    <w:qFormat/>
    <w:rPr>
      <w:sz w:val="16"/>
      <w:szCs w:val="16"/>
    </w:rPr>
  </w:style>
  <w:style w:type="character" w:styleId="Style4" w:customStyle="1">
    <w:name w:val="Текст примечания Знак"/>
    <w:link w:val="Annotationtext"/>
    <w:qFormat/>
    <w:rPr/>
  </w:style>
  <w:style w:type="character" w:styleId="Style5" w:customStyle="1">
    <w:name w:val="Тема примечания Знак"/>
    <w:link w:val="Annotationsubject"/>
    <w:qFormat/>
    <w:rPr>
      <w:b/>
      <w:bCs/>
    </w:rPr>
  </w:style>
  <w:style w:type="character" w:styleId="Style6" w:customStyle="1">
    <w:name w:val="Нижний колонтитул Знак"/>
    <w:uiPriority w:val="99"/>
    <w:qFormat/>
    <w:rPr>
      <w:sz w:val="28"/>
      <w:szCs w:val="28"/>
    </w:rPr>
  </w:style>
  <w:style w:type="character" w:styleId="32" w:customStyle="1">
    <w:name w:val="Основной текст 3 Знак"/>
    <w:link w:val="BodyText3"/>
    <w:qFormat/>
    <w:rPr>
      <w:color w:val="0000FF"/>
      <w:sz w:val="24"/>
      <w:szCs w:val="24"/>
      <w:lang w:eastAsia="en-US"/>
    </w:rPr>
  </w:style>
  <w:style w:type="character" w:styleId="Style7" w:customStyle="1">
    <w:name w:val="Название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1" w:customStyle="1">
    <w:name w:val="Заголовок 2 Знак"/>
    <w:semiHidden/>
    <w:qFormat/>
    <w:rPr>
      <w:rFonts w:ascii="Cambria" w:hAnsi="Cambria" w:eastAsia="Times New Roman" w:cs="Times New Roman"/>
      <w:b/>
      <w:bCs/>
      <w:i/>
      <w:iCs/>
      <w:sz w:val="28"/>
      <w:szCs w:val="28"/>
    </w:rPr>
  </w:style>
  <w:style w:type="character" w:styleId="Style8"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9" w:customStyle="1">
    <w:name w:val="Текст сноски Знак"/>
    <w:uiPriority w:val="99"/>
    <w:qFormat/>
    <w:rPr/>
  </w:style>
  <w:style w:type="character" w:styleId="Hyperlink">
    <w:name w:val="Hyperlink"/>
    <w:unhideWhenUsed/>
    <w:rPr>
      <w:color w:val="0000FF"/>
      <w:u w:val="single"/>
    </w:rPr>
  </w:style>
  <w:style w:type="character" w:styleId="Style10" w:customStyle="1">
    <w:name w:val="Текст концевой сноски Знак"/>
    <w:uiPriority w:val="99"/>
    <w:semiHidden/>
    <w:qFormat/>
    <w:rPr/>
  </w:style>
  <w:style w:type="character" w:styleId="Style1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yle12" w:customStyle="1">
    <w:name w:val="Верхний колонтитул Знак"/>
    <w:basedOn w:val="DefaultParagraphFont"/>
    <w:uiPriority w:val="99"/>
    <w:qFormat/>
    <w:rPr>
      <w:sz w:val="28"/>
      <w:szCs w:val="28"/>
    </w:rPr>
  </w:style>
  <w:style w:type="character" w:styleId="Style13" w:customStyle="1">
    <w:name w:val="Абзац списка Знак"/>
    <w:link w:val="ListParagraph"/>
    <w:uiPriority w:val="34"/>
    <w:qFormat/>
    <w:rPr>
      <w:sz w:val="24"/>
      <w:szCs w:val="24"/>
    </w:rPr>
  </w:style>
  <w:style w:type="character" w:styleId="Style14" w:customStyle="1">
    <w:name w:val="Название объекта Знак"/>
    <w:qFormat/>
    <w:rPr>
      <w:vertAlign w:val="superscript"/>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next w:val="Normal"/>
    <w:link w:val="Style14"/>
    <w:qFormat/>
    <w:pPr>
      <w:widowControl w:val="false"/>
      <w:spacing w:lineRule="auto" w:line="240" w:before="120" w:after="120"/>
      <w:ind w:hanging="0"/>
    </w:pPr>
    <w:rPr>
      <w:b/>
      <w:bCs/>
      <w:sz w:val="24"/>
      <w:szCs w:val="24"/>
    </w:rPr>
  </w:style>
  <w:style w:type="paragraph" w:styleId="Style16">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next w:val="Normal"/>
    <w:link w:val="Style"/>
    <w:uiPriority w:val="11"/>
    <w:qFormat/>
    <w:pPr>
      <w:spacing w:before="200" w:after="200"/>
    </w:pPr>
    <w:rPr>
      <w:sz w:val="24"/>
      <w:szCs w:val="24"/>
    </w:rPr>
  </w:style>
  <w:style w:type="paragraph" w:styleId="Quote">
    <w:name w:val="Quote"/>
    <w:basedOn w:val="Normal"/>
    <w:next w:val="Normal"/>
    <w:link w:val="2"/>
    <w:uiPriority w:val="29"/>
    <w:qFormat/>
    <w:pPr>
      <w:ind w:left="720" w:right="720" w:firstLine="567"/>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5"/>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BodyText3">
    <w:name w:val="Body Text 3"/>
    <w:basedOn w:val="Normal"/>
    <w:link w:val="32"/>
    <w:qFormat/>
    <w:pPr>
      <w:spacing w:lineRule="auto" w:line="240"/>
      <w:ind w:hanging="0"/>
    </w:pPr>
    <w:rPr>
      <w:color w:val="0000FF"/>
      <w:sz w:val="24"/>
      <w:szCs w:val="24"/>
      <w:lang w:eastAsia="en-US"/>
    </w:rPr>
  </w:style>
  <w:style w:type="paragraph" w:styleId="Style17">
    <w:name w:val="Колонтитул"/>
    <w:basedOn w:val="Normal"/>
    <w:qFormat/>
    <w:pPr/>
    <w:rPr/>
  </w:style>
  <w:style w:type="paragraph" w:styleId="Header">
    <w:name w:val="Header"/>
    <w:basedOn w:val="Normal"/>
    <w:link w:val="Style12"/>
    <w:uiPriority w:val="99"/>
    <w:pPr>
      <w:tabs>
        <w:tab w:val="clear" w:pos="708"/>
        <w:tab w:val="center" w:pos="4677" w:leader="none"/>
        <w:tab w:val="right" w:pos="9355" w:leader="none"/>
      </w:tabs>
    </w:pPr>
    <w:rPr/>
  </w:style>
  <w:style w:type="paragraph" w:styleId="Style18"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9"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9"/>
    <w:uiPriority w:val="99"/>
    <w:pPr>
      <w:spacing w:lineRule="auto" w:line="240"/>
      <w:ind w:hanging="0"/>
      <w:jc w:val="left"/>
    </w:pPr>
    <w:rPr>
      <w:sz w:val="20"/>
      <w:szCs w:val="20"/>
    </w:rPr>
  </w:style>
  <w:style w:type="paragraph" w:styleId="Style20"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1"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2" w:customStyle="1">
    <w:name w:val="Пункт договора"/>
    <w:basedOn w:val="Normal"/>
    <w:qFormat/>
    <w:pPr>
      <w:widowControl w:val="false"/>
      <w:spacing w:lineRule="auto" w:line="240"/>
      <w:ind w:hanging="0"/>
    </w:pPr>
    <w:rPr>
      <w:rFonts w:ascii="Arial" w:hAnsi="Arial"/>
      <w:sz w:val="20"/>
      <w:szCs w:val="20"/>
    </w:rPr>
  </w:style>
  <w:style w:type="paragraph" w:styleId="Style23"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link w:val="Style13"/>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link w:val="1"/>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3"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link w:val="31"/>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link w:val="Style3"/>
    <w:qFormat/>
    <w:pPr>
      <w:spacing w:lineRule="auto" w:line="240"/>
    </w:pPr>
    <w:rPr>
      <w:rFonts w:ascii="Tahoma" w:hAnsi="Tahoma"/>
      <w:sz w:val="16"/>
      <w:szCs w:val="16"/>
    </w:rPr>
  </w:style>
  <w:style w:type="paragraph" w:styleId="42" w:customStyle="1">
    <w:name w:val="4. Отчерк"/>
    <w:basedOn w:val="Normal"/>
    <w:link w:val="41"/>
    <w:qFormat/>
    <w:pPr>
      <w:widowControl w:val="false"/>
      <w:numPr>
        <w:ilvl w:val="0"/>
        <w:numId w:val="2"/>
      </w:numPr>
      <w:spacing w:lineRule="auto" w:line="240"/>
    </w:pPr>
    <w:rPr>
      <w:sz w:val="24"/>
      <w:szCs w:val="24"/>
    </w:rPr>
  </w:style>
  <w:style w:type="paragraph" w:styleId="Annotationtext">
    <w:name w:val="annotation text"/>
    <w:basedOn w:val="Normal"/>
    <w:link w:val="Style4"/>
    <w:qFormat/>
    <w:pPr>
      <w:spacing w:lineRule="auto" w:line="240"/>
    </w:pPr>
    <w:rPr>
      <w:sz w:val="20"/>
      <w:szCs w:val="20"/>
    </w:rPr>
  </w:style>
  <w:style w:type="paragraph" w:styleId="Annotationsubject">
    <w:name w:val="annotation subject"/>
    <w:basedOn w:val="Annotationtext"/>
    <w:next w:val="Annotationtext"/>
    <w:link w:val="Style5"/>
    <w:qFormat/>
    <w:pPr/>
    <w:rPr>
      <w:b/>
      <w:bCs/>
    </w:rPr>
  </w:style>
  <w:style w:type="paragraph" w:styleId="Footer">
    <w:name w:val="Footer"/>
    <w:basedOn w:val="Normal"/>
    <w:link w:val="Style6"/>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link w:val="Style7"/>
    <w:qFormat/>
    <w:pPr>
      <w:widowControl w:val="false"/>
      <w:spacing w:lineRule="auto" w:line="240" w:before="0" w:after="120"/>
      <w:ind w:hanging="0"/>
      <w:jc w:val="center"/>
    </w:pPr>
    <w:rPr>
      <w:b/>
      <w:bCs/>
      <w:sz w:val="32"/>
      <w:szCs w:val="20"/>
    </w:rPr>
  </w:style>
  <w:style w:type="paragraph" w:styleId="BodyTextIndent">
    <w:name w:val="Body Text Indent"/>
    <w:basedOn w:val="Normal"/>
    <w:link w:val="Style8"/>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link w:val="Style10"/>
    <w:uiPriority w:val="99"/>
    <w:semiHidden/>
    <w:unhideWhenUsed/>
    <w:pPr/>
    <w:rPr>
      <w:sz w:val="20"/>
      <w:szCs w:val="20"/>
    </w:rPr>
  </w:style>
  <w:style w:type="paragraph" w:styleId="ConsPlusNonformat" w:customStyle="1">
    <w:name w:val="ConsPlusNonformat"/>
    <w:qFormat/>
    <w:pPr>
      <w:widowControl w:val="false"/>
      <w:suppressAutoHyphens w:val="true"/>
      <w:bidi w:val="0"/>
      <w:spacing w:before="0" w:after="0"/>
      <w:jc w:val="left"/>
    </w:pPr>
    <w:rPr>
      <w:rFonts w:ascii="Courier New" w:hAnsi="Courier New" w:eastAsia="Noto Serif CJK SC" w:cs="Courier New"/>
      <w:color w:val="auto"/>
      <w:kern w:val="0"/>
      <w:sz w:val="20"/>
      <w:szCs w:val="20"/>
      <w:lang w:val="ru-RU" w:eastAsia="ru-RU" w:bidi="ar-SA"/>
    </w:rPr>
  </w:style>
  <w:style w:type="paragraph" w:styleId="42Table-NormalRSHBTable-Normal3" w:customStyle="1">
    <w:name w:val="Абзац списка;Алроса_маркер (Уровень 4);Маркер;ПАРАГРАФ;Абзац списка2;Table-Normal;RSHB_Table-Normal;Заголовок_3;Подпись рисунка"/>
    <w:qFormat/>
    <w:pPr>
      <w:widowControl/>
      <w:suppressAutoHyphens w:val="true"/>
      <w:bidi w:val="0"/>
      <w:spacing w:before="0" w:after="80"/>
      <w:ind w:left="720" w:hanging="0"/>
      <w:contextualSpacing/>
      <w:jc w:val="left"/>
    </w:pPr>
    <w:rPr>
      <w:rFonts w:ascii="Times New Roman" w:hAnsi="Times New Roman" w:eastAsia="Tahoma" w:cs="Droid Sans Devanagari"/>
      <w:color w:val="auto"/>
      <w:kern w:val="0"/>
      <w:sz w:val="24"/>
      <w:szCs w:val="24"/>
      <w:lang w:val="ru-RU" w:eastAsia="ru-RU" w:bidi="ar-SA"/>
    </w:rPr>
  </w:style>
  <w:style w:type="paragraph" w:styleId="14" w:customStyle="1">
    <w:name w:val="Текст сноски1"/>
    <w:basedOn w:val="Caption"/>
    <w:qFormat/>
    <w:pPr>
      <w:widowControl/>
      <w:spacing w:before="0" w:after="0"/>
      <w:jc w:val="left"/>
    </w:pPr>
    <w:rPr>
      <w:b w:val="false"/>
      <w:bCs w:val="false"/>
      <w:sz w:val="20"/>
      <w:szCs w:val="20"/>
    </w:rPr>
  </w:style>
  <w:style w:type="paragraph" w:styleId="15" w:customStyle="1">
    <w:name w:val="Текст1"/>
    <w:uiPriority w:val="99"/>
    <w:semiHidden/>
    <w:unhideWhenUsed/>
    <w:qFormat/>
    <w:pPr>
      <w:widowControl/>
      <w:suppressAutoHyphens w:val="true"/>
      <w:bidi w:val="0"/>
      <w:spacing w:before="0" w:after="0"/>
      <w:jc w:val="left"/>
    </w:pPr>
    <w:rPr>
      <w:rFonts w:ascii="Calibri" w:hAnsi="Calibri" w:eastAsia="Calibri" w:cs="Arial Unicode MS"/>
      <w:color w:val="auto"/>
      <w:kern w:val="0"/>
      <w:sz w:val="22"/>
      <w:szCs w:val="21"/>
      <w:lang w:val="ru-RU" w:eastAsia="en-US" w:bidi="ar-SA"/>
    </w:rPr>
  </w:style>
  <w:style w:type="numbering" w:styleId="NoList" w:default="1">
    <w:name w:val="No List"/>
    <w:uiPriority w:val="99"/>
    <w:semiHidden/>
    <w:unhideWhenUsed/>
    <w:qFormat/>
  </w:style>
  <w:style w:type="table" w:default="1" w:styleId="801">
    <w:name w:val="Normal Table"/>
    <w:uiPriority w:val="99"/>
    <w:semiHidden/>
    <w:unhideWhenUsed/>
    <w:tblPr>
      <w:tblCellMar>
        <w:left w:w="108" w:type="dxa"/>
        <w:top w:w="0" w:type="dxa"/>
        <w:right w:w="108" w:type="dxa"/>
        <w:bottom w:w="0" w:type="dxa"/>
      </w:tblCellMar>
    </w:tblPr>
  </w:style>
  <w:style w:type="table" w:customStyle="1" w:styleId="832">
    <w:name w:val="Table Grid Light"/>
    <w:basedOn w:val="80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833">
    <w:name w:val="Plain Table 1"/>
    <w:basedOn w:val="80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34">
    <w:name w:val="Plain Table 2"/>
    <w:basedOn w:val="80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35">
    <w:name w:val="Plain Table 3"/>
    <w:basedOn w:val="801"/>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36">
    <w:name w:val="Plain Table 4"/>
    <w:basedOn w:val="801"/>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37">
    <w:name w:val="Plain Table 5"/>
    <w:basedOn w:val="801"/>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838">
    <w:name w:val="Grid Table 1 Light"/>
    <w:basedOn w:val="80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39">
    <w:name w:val="Grid Table 1 Light - Accent 1"/>
    <w:basedOn w:val="80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color w:val="404040"/>
      </w:rPr>
      <w:tblPr/>
    </w:tblStylePr>
    <w:tblStylePr w:type="firstRow">
      <w:rPr>
        <w:b/>
        <w:color w:val="404040"/>
      </w:rPr>
      <w:tblPr/>
      <w:tcPr>
        <w:tcBorders>
          <w:bottom w:val="single" w:color="97B4D8" w:themeColor="accent1" w:sz="12" w:space="0"/>
        </w:tcBorders>
      </w:tcPr>
    </w:tblStylePr>
    <w:tblStylePr w:type="lastCol">
      <w:rPr>
        <w:b/>
        <w:color w:val="404040"/>
      </w:rPr>
      <w:tblPr/>
    </w:tblStylePr>
    <w:tblStylePr w:type="lastRow">
      <w:rPr>
        <w:b/>
        <w:color w:val="404040"/>
      </w:rPr>
      <w:tblPr/>
    </w:tblStylePr>
  </w:style>
  <w:style w:type="table" w:customStyle="1" w:styleId="840">
    <w:name w:val="Grid Table 1 Light - Accent 2"/>
    <w:basedOn w:val="80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color w:val="404040"/>
      </w:rPr>
      <w:tblPr/>
    </w:tblStylePr>
    <w:tblStylePr w:type="firstRow">
      <w:rPr>
        <w:b/>
        <w:color w:val="404040"/>
      </w:rPr>
      <w:tblPr/>
      <w:tcPr>
        <w:tcBorders>
          <w:bottom w:val="single" w:color="DA9896" w:themeColor="accent2" w:sz="12" w:space="0"/>
        </w:tcBorders>
      </w:tcPr>
    </w:tblStylePr>
    <w:tblStylePr w:type="lastCol">
      <w:rPr>
        <w:b/>
        <w:color w:val="404040"/>
      </w:rPr>
      <w:tblPr/>
    </w:tblStylePr>
    <w:tblStylePr w:type="lastRow">
      <w:rPr>
        <w:b/>
        <w:color w:val="404040"/>
      </w:rPr>
      <w:tblPr/>
    </w:tblStylePr>
  </w:style>
  <w:style w:type="table" w:customStyle="1" w:styleId="841">
    <w:name w:val="Grid Table 1 Light - Accent 3"/>
    <w:basedOn w:val="80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color w:val="404040"/>
      </w:rPr>
      <w:tblPr/>
    </w:tblStylePr>
    <w:tblStylePr w:type="firstRow">
      <w:rPr>
        <w:b/>
        <w:color w:val="404040"/>
      </w:rPr>
      <w:tblPr/>
      <w:tcPr>
        <w:tcBorders>
          <w:bottom w:val="single" w:color="C4D79D" w:themeColor="accent3" w:sz="12" w:space="0"/>
        </w:tcBorders>
      </w:tcPr>
    </w:tblStylePr>
    <w:tblStylePr w:type="lastCol">
      <w:rPr>
        <w:b/>
        <w:color w:val="404040"/>
      </w:rPr>
      <w:tblPr/>
    </w:tblStylePr>
    <w:tblStylePr w:type="lastRow">
      <w:rPr>
        <w:b/>
        <w:color w:val="404040"/>
      </w:rPr>
      <w:tblPr/>
    </w:tblStylePr>
  </w:style>
  <w:style w:type="table" w:customStyle="1" w:styleId="842">
    <w:name w:val="Grid Table 1 Light - Accent 4"/>
    <w:basedOn w:val="80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color w:val="404040"/>
      </w:rPr>
      <w:tblPr/>
    </w:tblStylePr>
    <w:tblStylePr w:type="firstRow">
      <w:rPr>
        <w:b/>
        <w:color w:val="404040"/>
      </w:rPr>
      <w:tblPr/>
      <w:tcPr>
        <w:tcBorders>
          <w:bottom w:val="single" w:color="B4A4C8" w:themeColor="accent4" w:sz="12" w:space="0"/>
        </w:tcBorders>
      </w:tcPr>
    </w:tblStylePr>
    <w:tblStylePr w:type="lastCol">
      <w:rPr>
        <w:b/>
        <w:color w:val="404040"/>
      </w:rPr>
      <w:tblPr/>
    </w:tblStylePr>
    <w:tblStylePr w:type="lastRow">
      <w:rPr>
        <w:b/>
        <w:color w:val="404040"/>
      </w:rPr>
      <w:tblPr/>
    </w:tblStylePr>
  </w:style>
  <w:style w:type="table" w:customStyle="1" w:styleId="843">
    <w:name w:val="Grid Table 1 Light - Accent 5"/>
    <w:basedOn w:val="80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color w:val="404040"/>
      </w:rPr>
      <w:tblPr/>
    </w:tblStylePr>
    <w:tblStylePr w:type="firstRow">
      <w:rPr>
        <w:b/>
        <w:color w:val="404040"/>
      </w:rPr>
      <w:tblPr/>
      <w:tcPr>
        <w:tcBorders>
          <w:bottom w:val="single" w:color="95CEDD" w:themeColor="accent5" w:sz="12" w:space="0"/>
        </w:tcBorders>
      </w:tcPr>
    </w:tblStylePr>
    <w:tblStylePr w:type="lastCol">
      <w:rPr>
        <w:b/>
        <w:color w:val="404040"/>
      </w:rPr>
      <w:tblPr/>
    </w:tblStylePr>
    <w:tblStylePr w:type="lastRow">
      <w:rPr>
        <w:b/>
        <w:color w:val="404040"/>
      </w:rPr>
      <w:tblPr/>
    </w:tblStylePr>
  </w:style>
  <w:style w:type="table" w:customStyle="1" w:styleId="844">
    <w:name w:val="Grid Table 1 Light - Accent 6"/>
    <w:basedOn w:val="80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color w:val="404040"/>
      </w:rPr>
      <w:tblPr/>
    </w:tblStylePr>
    <w:tblStylePr w:type="firstRow">
      <w:rPr>
        <w:b/>
        <w:color w:val="404040"/>
      </w:rPr>
      <w:tblPr/>
      <w:tcPr>
        <w:tcBorders>
          <w:bottom w:val="single" w:color="FAC192" w:themeColor="accent6" w:sz="12" w:space="0"/>
        </w:tcBorders>
      </w:tcPr>
    </w:tblStylePr>
    <w:tblStylePr w:type="lastCol">
      <w:rPr>
        <w:b/>
        <w:color w:val="404040"/>
      </w:rPr>
      <w:tblPr/>
    </w:tblStylePr>
    <w:tblStylePr w:type="lastRow">
      <w:rPr>
        <w:b/>
        <w:color w:val="404040"/>
      </w:rPr>
      <w:tblPr/>
    </w:tblStylePr>
  </w:style>
  <w:style w:type="table" w:styleId="845">
    <w:name w:val="Grid Table 2"/>
    <w:basedOn w:val="80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46">
    <w:name w:val="Grid Table 2 - Accent 1"/>
    <w:basedOn w:val="80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847">
    <w:name w:val="Grid Table 2 - Accent 2"/>
    <w:basedOn w:val="80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848">
    <w:name w:val="Grid Table 2 - Accent 3"/>
    <w:basedOn w:val="80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849">
    <w:name w:val="Grid Table 2 - Accent 4"/>
    <w:basedOn w:val="80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850">
    <w:name w:val="Grid Table 2 - Accent 5"/>
    <w:basedOn w:val="80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851">
    <w:name w:val="Grid Table 2 - Accent 6"/>
    <w:basedOn w:val="80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styleId="852">
    <w:name w:val="Grid Table 3"/>
    <w:basedOn w:val="80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3">
    <w:name w:val="Grid Table 3 - Accent 1"/>
    <w:basedOn w:val="80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4">
    <w:name w:val="Grid Table 3 - Accent 2"/>
    <w:basedOn w:val="80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5">
    <w:name w:val="Grid Table 3 - Accent 3"/>
    <w:basedOn w:val="80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6">
    <w:name w:val="Grid Table 3 - Accent 4"/>
    <w:basedOn w:val="80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7">
    <w:name w:val="Grid Table 3 - Accent 5"/>
    <w:basedOn w:val="80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8">
    <w:name w:val="Grid Table 3 - Accent 6"/>
    <w:basedOn w:val="80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59">
    <w:name w:val="Grid Table 4"/>
    <w:basedOn w:val="80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60">
    <w:name w:val="Grid Table 4 - Accent 1"/>
    <w:basedOn w:val="801"/>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CE6F2" w:fill="DCE6F2" w:themeFill="accent1" w:themeFillTint="32"/>
      </w:tcPr>
    </w:tblStylePr>
    <w:tblStylePr w:type="band1Vert">
      <w:rPr>
        <w:color w:val="404040"/>
        <w:sz w:val="22"/>
      </w:rPr>
      <w:tblPr/>
      <w:tcPr>
        <w:shd w:val="clear" w:color="DCE6F2" w:fill="DCE6F2" w:themeFill="accent1" w:themeFillTint="32"/>
      </w:tcPr>
    </w:tblStylePr>
    <w:tblStylePr w:type="firstCol">
      <w:rPr>
        <w:b/>
        <w:color w:val="404040"/>
      </w:rPr>
      <w:tblPr/>
    </w:tblStyle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color w:val="404040"/>
      </w:rPr>
      <w:tblPr/>
    </w:tblStylePr>
    <w:tblStylePr w:type="lastRow">
      <w:rPr>
        <w:b/>
        <w:color w:val="404040"/>
      </w:rPr>
      <w:tblPr/>
      <w:tcPr>
        <w:tcBorders>
          <w:top w:val="single" w:color="5D8AC2" w:themeColor="accent1" w:sz="4" w:space="0"/>
        </w:tcBorders>
      </w:tcPr>
    </w:tblStylePr>
  </w:style>
  <w:style w:type="table" w:customStyle="1" w:styleId="861">
    <w:name w:val="Grid Table 4 - Accent 2"/>
    <w:basedOn w:val="801"/>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color w:val="404040"/>
      </w:rPr>
      <w:tblPr/>
    </w:tblStylePr>
    <w:tblStylePr w:type="lastRow">
      <w:rPr>
        <w:b/>
        <w:color w:val="404040"/>
      </w:rPr>
      <w:tblPr/>
      <w:tcPr>
        <w:tcBorders>
          <w:top w:val="single" w:color="D99695" w:themeColor="accent2" w:sz="4" w:space="0"/>
        </w:tcBorders>
      </w:tcPr>
    </w:tblStylePr>
  </w:style>
  <w:style w:type="table" w:customStyle="1" w:styleId="862">
    <w:name w:val="Grid Table 4 - Accent 3"/>
    <w:basedOn w:val="801"/>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color w:val="404040"/>
      </w:rPr>
      <w:tblPr/>
    </w:tblStylePr>
    <w:tblStylePr w:type="lastRow">
      <w:rPr>
        <w:b/>
        <w:color w:val="404040"/>
      </w:rPr>
      <w:tblPr/>
      <w:tcPr>
        <w:tcBorders>
          <w:top w:val="single" w:color="9ABB59" w:themeColor="accent3" w:sz="4" w:space="0"/>
        </w:tcBorders>
      </w:tcPr>
    </w:tblStylePr>
  </w:style>
  <w:style w:type="table" w:customStyle="1" w:styleId="863">
    <w:name w:val="Grid Table 4 - Accent 4"/>
    <w:basedOn w:val="801"/>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color w:val="404040"/>
      </w:rPr>
      <w:tblPr/>
    </w:tblStylePr>
    <w:tblStylePr w:type="lastRow">
      <w:rPr>
        <w:b/>
        <w:color w:val="404040"/>
      </w:rPr>
      <w:tblPr/>
      <w:tcPr>
        <w:tcBorders>
          <w:top w:val="single" w:color="B2A1C6" w:themeColor="accent4" w:sz="4" w:space="0"/>
        </w:tcBorders>
      </w:tcPr>
    </w:tblStylePr>
  </w:style>
  <w:style w:type="table" w:customStyle="1" w:styleId="864">
    <w:name w:val="Grid Table 4 - Accent 5"/>
    <w:basedOn w:val="801"/>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color w:val="404040"/>
      </w:rPr>
      <w:tblPr/>
    </w:tblStylePr>
    <w:tblStylePr w:type="lastRow">
      <w:rPr>
        <w:b/>
        <w:color w:val="404040"/>
      </w:rPr>
      <w:tblPr/>
      <w:tcPr>
        <w:tcBorders>
          <w:top w:val="single" w:color="4BACC6" w:themeColor="accent5" w:sz="4" w:space="0"/>
        </w:tcBorders>
      </w:tcPr>
    </w:tblStylePr>
  </w:style>
  <w:style w:type="table" w:customStyle="1" w:styleId="865">
    <w:name w:val="Grid Table 4 - Accent 6"/>
    <w:basedOn w:val="801"/>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color w:val="404040"/>
      </w:rPr>
      <w:tblPr/>
    </w:tblStylePr>
    <w:tblStylePr w:type="lastRow">
      <w:rPr>
        <w:b/>
        <w:color w:val="404040"/>
      </w:rPr>
      <w:tblPr/>
      <w:tcPr>
        <w:tcBorders>
          <w:top w:val="single" w:color="F79646" w:themeColor="accent6" w:sz="4" w:space="0"/>
        </w:tcBorders>
      </w:tcPr>
    </w:tblStylePr>
  </w:style>
  <w:style w:type="table" w:styleId="866">
    <w:name w:val="Grid Table 5 Dark"/>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67">
    <w:name w:val="Grid Table 5 Dark- Accent 1"/>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color w:val="FFFFFF"/>
        <w:sz w:val="22"/>
      </w:rPr>
      <w:tblPr/>
      <w:tcPr>
        <w:shd w:val="clear" w:color="4F81BD" w:fill="4F81BD" w:themeFill="accent1"/>
      </w:tcPr>
    </w:tblStylePr>
    <w:tblStylePr w:type="firstRow">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style>
  <w:style w:type="table" w:customStyle="1" w:styleId="868">
    <w:name w:val="Grid Table 5 Dark - Accent 2"/>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color w:val="FFFFFF"/>
        <w:sz w:val="22"/>
      </w:rPr>
      <w:tblPr/>
      <w:tcPr>
        <w:shd w:val="clear" w:color="C0504D" w:fill="C0504D" w:themeFill="accent2"/>
      </w:tcPr>
    </w:tblStylePr>
    <w:tblStylePr w:type="firstRow">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style>
  <w:style w:type="table" w:customStyle="1" w:styleId="869">
    <w:name w:val="Grid Table 5 Dark - Accent 3"/>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color w:val="FFFFFF"/>
        <w:sz w:val="22"/>
      </w:rPr>
      <w:tblPr/>
      <w:tcPr>
        <w:shd w:val="clear" w:color="9BBB59" w:fill="9BBB59" w:themeFill="accent3"/>
      </w:tcPr>
    </w:tblStylePr>
    <w:tblStylePr w:type="firstRow">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style>
  <w:style w:type="table" w:customStyle="1" w:styleId="870">
    <w:name w:val="Grid Table 5 Dark- Accent 4"/>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color w:val="FFFFFF"/>
        <w:sz w:val="22"/>
      </w:rPr>
      <w:tblPr/>
      <w:tcPr>
        <w:shd w:val="clear" w:color="8064A2" w:fill="8064A2" w:themeFill="accent4"/>
      </w:tcPr>
    </w:tblStylePr>
    <w:tblStylePr w:type="firstRow">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style>
  <w:style w:type="table" w:customStyle="1" w:styleId="871">
    <w:name w:val="Grid Table 5 Dark - Accent 5"/>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color w:val="FFFFFF"/>
        <w:sz w:val="22"/>
      </w:rPr>
      <w:tblPr/>
      <w:tcPr>
        <w:shd w:val="clear" w:color="4BACC6" w:fill="4BACC6" w:themeFill="accent5"/>
      </w:tcPr>
    </w:tblStylePr>
    <w:tblStylePr w:type="firstRow">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style>
  <w:style w:type="table" w:customStyle="1" w:styleId="872">
    <w:name w:val="Grid Table 5 Dark - Accent 6"/>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color w:val="FFFFFF"/>
        <w:sz w:val="22"/>
      </w:rPr>
      <w:tblPr/>
      <w:tcPr>
        <w:shd w:val="clear" w:color="F79646" w:fill="F79646" w:themeFill="accent6"/>
      </w:tcPr>
    </w:tblStylePr>
    <w:tblStylePr w:type="firstRow">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style>
  <w:style w:type="table" w:styleId="873">
    <w:name w:val="Grid Table 6 Colorful"/>
    <w:basedOn w:val="80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74">
    <w:name w:val="Grid Table 6 Colorful - Accent 1"/>
    <w:basedOn w:val="801"/>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rPr>
        <w:b/>
        <w:color w:val="A6BFDD" w:themeColor="accent1" w:themeTint="80" w:themeShade="95"/>
      </w:rPr>
      <w:tblPr/>
    </w:tblStylePr>
    <w:tblStylePr w:type="firstRow">
      <w:rPr>
        <w:b/>
        <w:color w:val="A6BFDD" w:themeColor="accent1" w:themeTint="80" w:themeShade="95"/>
      </w:rPr>
      <w:tblPr/>
      <w:tcPr>
        <w:tcBorders>
          <w:bottom w:val="single" w:color="A6BFDD" w:themeColor="accent1" w:sz="12" w:space="0"/>
        </w:tcBorders>
      </w:tcPr>
    </w:tblStylePr>
    <w:tblStylePr w:type="lastCol">
      <w:rPr>
        <w:b/>
        <w:color w:val="A6BFDD" w:themeColor="accent1" w:themeTint="80" w:themeShade="95"/>
      </w:rPr>
      <w:tblPr/>
    </w:tblStylePr>
    <w:tblStylePr w:type="lastRow">
      <w:rPr>
        <w:b/>
        <w:color w:val="A6BFDD" w:themeColor="accent1" w:themeTint="80" w:themeShade="95"/>
      </w:rPr>
      <w:tblPr/>
    </w:tblStylePr>
  </w:style>
  <w:style w:type="table" w:customStyle="1" w:styleId="875">
    <w:name w:val="Grid Table 6 Colorful - Accent 2"/>
    <w:basedOn w:val="80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12" w:space="0"/>
        </w:tcBorders>
      </w:tcPr>
    </w:tblStylePr>
    <w:tblStylePr w:type="lastCol">
      <w:rPr>
        <w:b/>
        <w:color w:val="D99695" w:themeColor="accent2" w:themeTint="97" w:themeShade="95"/>
      </w:rPr>
      <w:tblPr/>
    </w:tblStylePr>
    <w:tblStylePr w:type="lastRow">
      <w:rPr>
        <w:b/>
        <w:color w:val="D99695" w:themeColor="accent2" w:themeTint="97" w:themeShade="95"/>
      </w:rPr>
      <w:tblPr/>
    </w:tblStylePr>
  </w:style>
  <w:style w:type="table" w:customStyle="1" w:styleId="876">
    <w:name w:val="Grid Table 6 Colorful - Accent 3"/>
    <w:basedOn w:val="801"/>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rPr>
        <w:b/>
        <w:color w:val="9ABB59" w:themeColor="accent3" w:themeTint="fe" w:themeShade="95"/>
      </w:rPr>
      <w:tblPr/>
    </w:tblStylePr>
    <w:tblStylePr w:type="firstRow">
      <w:rPr>
        <w:b/>
        <w:color w:val="9ABB59" w:themeColor="accent3" w:themeTint="fe" w:themeShade="95"/>
      </w:rPr>
      <w:tblPr/>
      <w:tcPr>
        <w:tcBorders>
          <w:bottom w:val="single" w:color="9ABB59" w:themeColor="accent3" w:sz="12" w:space="0"/>
        </w:tcBorders>
      </w:tcPr>
    </w:tblStylePr>
    <w:tblStylePr w:type="lastCol">
      <w:rPr>
        <w:b/>
        <w:color w:val="9ABB59" w:themeColor="accent3" w:themeTint="fe" w:themeShade="95"/>
      </w:rPr>
      <w:tblPr/>
    </w:tblStylePr>
    <w:tblStylePr w:type="lastRow">
      <w:rPr>
        <w:b/>
        <w:color w:val="9ABB59" w:themeColor="accent3" w:themeTint="fe" w:themeShade="95"/>
      </w:rPr>
      <w:tblPr/>
    </w:tblStylePr>
  </w:style>
  <w:style w:type="table" w:customStyle="1" w:styleId="877">
    <w:name w:val="Grid Table 6 Colorful - Accent 4"/>
    <w:basedOn w:val="80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12" w:space="0"/>
        </w:tcBorders>
      </w:tcPr>
    </w:tblStylePr>
    <w:tblStylePr w:type="lastCol">
      <w:rPr>
        <w:b/>
        <w:color w:val="B2A1C6" w:themeColor="accent4" w:themeTint="9a" w:themeShade="95"/>
      </w:rPr>
      <w:tblPr/>
    </w:tblStylePr>
    <w:tblStylePr w:type="lastRow">
      <w:rPr>
        <w:b/>
        <w:color w:val="B2A1C6" w:themeColor="accent4" w:themeTint="9a" w:themeShade="95"/>
      </w:rPr>
      <w:tblPr/>
    </w:tblStylePr>
  </w:style>
  <w:style w:type="table" w:customStyle="1" w:styleId="878">
    <w:name w:val="Grid Table 6 Colorful - Accent 5"/>
    <w:basedOn w:val="80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4BACC6" w:themeColor="accent5"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879">
    <w:name w:val="Grid Table 6 Colorful - Accent 6"/>
    <w:basedOn w:val="801"/>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266779"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F79646" w:themeColor="accent6"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styleId="880">
    <w:name w:val="Grid Table 7 Colorful"/>
    <w:basedOn w:val="80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81">
    <w:name w:val="Grid Table 7 Colorful - Accent 1"/>
    <w:basedOn w:val="801"/>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82">
    <w:name w:val="Grid Table 7 Colorful - Accent 2"/>
    <w:basedOn w:val="801"/>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83">
    <w:name w:val="Grid Table 7 Colorful - Accent 3"/>
    <w:basedOn w:val="801"/>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84">
    <w:name w:val="Grid Table 7 Colorful - Accent 4"/>
    <w:basedOn w:val="801"/>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85">
    <w:name w:val="Grid Table 7 Colorful - Accent 5"/>
    <w:basedOn w:val="801"/>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86">
    <w:name w:val="Grid Table 7 Colorful - Accent 6"/>
    <w:basedOn w:val="801"/>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val="B15407"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B15407" w:themeColor="accent6" w:themeShade="95"/>
        <w:sz w:val="22"/>
      </w:rPr>
      <w:tbl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styleId="887">
    <w:name w:val="List Table 1 Light"/>
    <w:basedOn w:val="801"/>
    <w:uiPriority w:val="99"/>
    <w:tblPr>
      <w:tblStyleRowBandSize w:val="1"/>
      <w:tblStyleColBandSize w:val="1"/>
      <w:tblCellMar>
        <w:left w:w="108" w:type="dxa"/>
        <w:top w:w="0" w:type="dxa"/>
        <w:right w:w="108" w:type="dxa"/>
        <w:bottom w:w="0" w:type="dxa"/>
      </w:tblCellMar>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88">
    <w:name w:val="List Table 1 Light - Accent 1"/>
    <w:basedOn w:val="801"/>
    <w:uiPriority w:val="99"/>
    <w:tblPr>
      <w:tblStyleRowBandSize w:val="1"/>
      <w:tblStyleColBandSize w:val="1"/>
      <w:tblCellMar>
        <w:left w:w="108" w:type="dxa"/>
        <w:top w:w="0" w:type="dxa"/>
        <w:right w:w="108" w:type="dxa"/>
        <w:bottom w:w="0" w:type="dxa"/>
      </w:tblCellMar>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889">
    <w:name w:val="List Table 1 Light - Accent 2"/>
    <w:basedOn w:val="801"/>
    <w:uiPriority w:val="99"/>
    <w:tblPr>
      <w:tblStyleRowBandSize w:val="1"/>
      <w:tblStyleColBandSize w:val="1"/>
      <w:tblCellMar>
        <w:left w:w="108" w:type="dxa"/>
        <w:top w:w="0" w:type="dxa"/>
        <w:right w:w="108" w:type="dxa"/>
        <w:bottom w:w="0" w:type="dxa"/>
      </w:tblCellMar>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890">
    <w:name w:val="List Table 1 Light - Accent 3"/>
    <w:basedOn w:val="801"/>
    <w:uiPriority w:val="99"/>
    <w:tblPr>
      <w:tblStyleRowBandSize w:val="1"/>
      <w:tblStyleColBandSize w:val="1"/>
      <w:tblCellMar>
        <w:left w:w="108" w:type="dxa"/>
        <w:top w:w="0" w:type="dxa"/>
        <w:right w:w="108" w:type="dxa"/>
        <w:bottom w:w="0" w:type="dxa"/>
      </w:tblCellMar>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891">
    <w:name w:val="List Table 1 Light - Accent 4"/>
    <w:basedOn w:val="801"/>
    <w:uiPriority w:val="99"/>
    <w:tblPr>
      <w:tblStyleRowBandSize w:val="1"/>
      <w:tblStyleColBandSize w:val="1"/>
      <w:tblCellMar>
        <w:left w:w="108" w:type="dxa"/>
        <w:top w:w="0" w:type="dxa"/>
        <w:right w:w="108" w:type="dxa"/>
        <w:bottom w:w="0" w:type="dxa"/>
      </w:tblCellMar>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892">
    <w:name w:val="List Table 1 Light - Accent 5"/>
    <w:basedOn w:val="801"/>
    <w:uiPriority w:val="99"/>
    <w:tblPr>
      <w:tblStyleRowBandSize w:val="1"/>
      <w:tblStyleColBandSize w:val="1"/>
      <w:tblCellMar>
        <w:left w:w="108" w:type="dxa"/>
        <w:top w:w="0" w:type="dxa"/>
        <w:right w:w="108" w:type="dxa"/>
        <w:bottom w:w="0" w:type="dxa"/>
      </w:tblCellMar>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893">
    <w:name w:val="List Table 1 Light - Accent 6"/>
    <w:basedOn w:val="801"/>
    <w:uiPriority w:val="99"/>
    <w:tblPr>
      <w:tblStyleRowBandSize w:val="1"/>
      <w:tblStyleColBandSize w:val="1"/>
      <w:tblCellMar>
        <w:left w:w="108" w:type="dxa"/>
        <w:top w:w="0" w:type="dxa"/>
        <w:right w:w="108" w:type="dxa"/>
        <w:bottom w:w="0" w:type="dxa"/>
      </w:tblCellMar>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style>
  <w:style w:type="table" w:styleId="894">
    <w:name w:val="List Table 2"/>
    <w:basedOn w:val="80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895">
    <w:name w:val="List Table 2 - Accent 1"/>
    <w:basedOn w:val="801"/>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sz w:val="22"/>
      </w:rPr>
      <w:tblPr/>
    </w:tblStyle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896">
    <w:name w:val="List Table 2 - Accent 2"/>
    <w:basedOn w:val="801"/>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sz w:val="22"/>
      </w:rPr>
      <w:tblPr/>
    </w:tblStyle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897">
    <w:name w:val="List Table 2 - Accent 3"/>
    <w:basedOn w:val="801"/>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sz w:val="22"/>
      </w:rPr>
      <w:tblPr/>
    </w:tblStyle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898">
    <w:name w:val="List Table 2 - Accent 4"/>
    <w:basedOn w:val="801"/>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sz w:val="22"/>
      </w:rPr>
      <w:tblPr/>
    </w:tblStyle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899">
    <w:name w:val="List Table 2 - Accent 5"/>
    <w:basedOn w:val="801"/>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sz w:val="22"/>
      </w:rPr>
      <w:tblPr/>
    </w:tblStyle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900">
    <w:name w:val="List Table 2 - Accent 6"/>
    <w:basedOn w:val="801"/>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sz w:val="22"/>
      </w:rPr>
      <w:tblPr/>
    </w:tblStyle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styleId="901">
    <w:name w:val="List Table 3"/>
    <w:basedOn w:val="80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02">
    <w:name w:val="List Table 3 - Accent 1"/>
    <w:basedOn w:val="80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108" w:type="dxa"/>
        <w:top w:w="0" w:type="dxa"/>
        <w:right w:w="108" w:type="dxa"/>
        <w:bottom w:w="0" w:type="dxa"/>
      </w:tblCellMar>
    </w:tblPr>
    <w:tblStylePr w:type="band1Horz">
      <w:rPr>
        <w:color w:val="404040"/>
        <w:sz w:val="22"/>
      </w:rPr>
      <w:tblPr/>
      <w:tcPr>
        <w:tcBorders>
          <w:top w:val="single" w:color="4F81BD" w:themeColor="accent1" w:sz="4" w:space="0"/>
          <w:bottom w:val="single" w:color="4F81BD" w:themeColor="accent1" w:sz="4" w:space="0"/>
        </w:tcBorders>
      </w:tcPr>
    </w:tblStylePr>
    <w:tblStylePr w:type="band1Vert">
      <w:rPr>
        <w:color w:val="404040"/>
        <w:sz w:val="22"/>
      </w:rPr>
      <w:tblPr/>
      <w:tcPr>
        <w:tcBorders>
          <w:left w:val="single" w:color="4F81BD" w:themeColor="accent1" w:sz="4" w:space="0"/>
          <w:right w:val="single" w:color="4F81BD" w:themeColor="accent1" w:sz="4" w:space="0"/>
        </w:tcBorders>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03">
    <w:name w:val="List Table 3 - Accent 2"/>
    <w:basedOn w:val="80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108" w:type="dxa"/>
        <w:top w:w="0" w:type="dxa"/>
        <w:right w:w="108" w:type="dxa"/>
        <w:bottom w:w="0" w:type="dxa"/>
      </w:tblCellMar>
    </w:tblPr>
    <w:tblStylePr w:type="band1Horz">
      <w:rPr>
        <w:color w:val="404040"/>
        <w:sz w:val="22"/>
      </w:rPr>
      <w:tblPr/>
      <w:tcPr>
        <w:tcBorders>
          <w:top w:val="single" w:color="D99695" w:themeColor="accent2" w:sz="4" w:space="0"/>
          <w:bottom w:val="single" w:color="D99695" w:themeColor="accent2" w:sz="4" w:space="0"/>
        </w:tcBorders>
      </w:tcPr>
    </w:tblStylePr>
    <w:tblStylePr w:type="band1Vert">
      <w:rPr>
        <w:color w:val="404040"/>
        <w:sz w:val="22"/>
      </w:rPr>
      <w:tblPr/>
      <w:tcPr>
        <w:tcBorders>
          <w:left w:val="single" w:color="D99695" w:themeColor="accent2" w:sz="4" w:space="0"/>
          <w:right w:val="single" w:color="D99695" w:themeColor="accent2" w:sz="4" w:space="0"/>
        </w:tcBorders>
      </w:tcPr>
    </w:tblStylePr>
    <w:tblStylePr w:type="firstCol">
      <w:rPr>
        <w:b/>
        <w:color w:val="404040"/>
      </w:rPr>
      <w:tblPr/>
    </w:tblStylePr>
    <w:tblStylePr w:type="firstRow">
      <w:rPr>
        <w:b/>
        <w:color w:val="FFFFFF"/>
        <w:sz w:val="22"/>
      </w:rPr>
      <w:tblPr/>
      <w:tcPr>
        <w:shd w:val="clear" w:color="D99695" w:fill="D99695" w:themeFill="accent2" w:themeFillTint="97"/>
      </w:tcPr>
    </w:tblStylePr>
    <w:tblStylePr w:type="lastCol">
      <w:rPr>
        <w:b/>
        <w:color w:val="404040"/>
      </w:rPr>
      <w:tblPr/>
    </w:tblStylePr>
    <w:tblStylePr w:type="lastRow">
      <w:rPr>
        <w:b/>
        <w:color w:val="404040"/>
      </w:rPr>
      <w:tblPr/>
    </w:tblStylePr>
  </w:style>
  <w:style w:type="table" w:customStyle="1" w:styleId="904">
    <w:name w:val="List Table 3 - Accent 3"/>
    <w:basedOn w:val="801"/>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108" w:type="dxa"/>
        <w:top w:w="0" w:type="dxa"/>
        <w:right w:w="108" w:type="dxa"/>
        <w:bottom w:w="0" w:type="dxa"/>
      </w:tblCellMar>
    </w:tblPr>
    <w:tblStylePr w:type="band1Horz">
      <w:rPr>
        <w:color w:val="404040"/>
        <w:sz w:val="22"/>
      </w:rPr>
      <w:tblPr/>
      <w:tcPr>
        <w:tcBorders>
          <w:top w:val="single" w:color="C3D69B" w:themeColor="accent3" w:sz="4" w:space="0"/>
          <w:bottom w:val="single" w:color="C3D69B" w:themeColor="accent3" w:sz="4" w:space="0"/>
        </w:tcBorders>
      </w:tcPr>
    </w:tblStylePr>
    <w:tblStylePr w:type="band1Vert">
      <w:rPr>
        <w:color w:val="404040"/>
        <w:sz w:val="22"/>
      </w:rPr>
      <w:tblPr/>
      <w:tcPr>
        <w:tcBorders>
          <w:left w:val="single" w:color="C3D69B" w:themeColor="accent3" w:sz="4" w:space="0"/>
          <w:right w:val="single" w:color="C3D69B" w:themeColor="accent3" w:sz="4" w:space="0"/>
        </w:tcBorders>
      </w:tcPr>
    </w:tblStylePr>
    <w:tblStylePr w:type="firstCol">
      <w:rPr>
        <w:b/>
        <w:color w:val="404040"/>
      </w:rPr>
      <w:tblPr/>
    </w:tblStylePr>
    <w:tblStylePr w:type="firstRow">
      <w:rPr>
        <w:b/>
        <w:color w:val="FFFFFF"/>
        <w:sz w:val="22"/>
      </w:rPr>
      <w:tblPr/>
      <w:tcPr>
        <w:shd w:val="clear" w:color="C3D69B" w:fill="C3D69B" w:themeFill="accent3" w:themeFillTint="98"/>
      </w:tcPr>
    </w:tblStylePr>
    <w:tblStylePr w:type="lastCol">
      <w:rPr>
        <w:b/>
        <w:color w:val="404040"/>
      </w:rPr>
      <w:tblPr/>
    </w:tblStylePr>
    <w:tblStylePr w:type="lastRow">
      <w:rPr>
        <w:b/>
        <w:color w:val="404040"/>
      </w:rPr>
      <w:tblPr/>
    </w:tblStylePr>
  </w:style>
  <w:style w:type="table" w:customStyle="1" w:styleId="905">
    <w:name w:val="List Table 3 - Accent 4"/>
    <w:basedOn w:val="80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108" w:type="dxa"/>
        <w:top w:w="0" w:type="dxa"/>
        <w:right w:w="108" w:type="dxa"/>
        <w:bottom w:w="0" w:type="dxa"/>
      </w:tblCellMar>
    </w:tblPr>
    <w:tblStylePr w:type="band1Horz">
      <w:rPr>
        <w:color w:val="404040"/>
        <w:sz w:val="22"/>
      </w:rPr>
      <w:tblPr/>
      <w:tcPr>
        <w:tcBorders>
          <w:top w:val="single" w:color="B2A1C6" w:themeColor="accent4" w:sz="4" w:space="0"/>
          <w:bottom w:val="single" w:color="B2A1C6" w:themeColor="accent4" w:sz="4" w:space="0"/>
        </w:tcBorders>
      </w:tcPr>
    </w:tblStylePr>
    <w:tblStylePr w:type="band1Vert">
      <w:rPr>
        <w:color w:val="404040"/>
        <w:sz w:val="22"/>
      </w:rPr>
      <w:tblPr/>
      <w:tcPr>
        <w:tcBorders>
          <w:left w:val="single" w:color="B2A1C6" w:themeColor="accent4" w:sz="4" w:space="0"/>
          <w:right w:val="single" w:color="B2A1C6" w:themeColor="accent4" w:sz="4" w:space="0"/>
        </w:tcBorders>
      </w:tcPr>
    </w:tblStylePr>
    <w:tblStylePr w:type="firstCol">
      <w:rPr>
        <w:b/>
        <w:color w:val="404040"/>
      </w:rPr>
      <w:tblPr/>
    </w:tblStylePr>
    <w:tblStylePr w:type="firstRow">
      <w:rPr>
        <w:b/>
        <w:color w:val="FFFFFF"/>
        <w:sz w:val="22"/>
      </w:rPr>
      <w:tblPr/>
      <w:tcPr>
        <w:shd w:val="clear" w:color="B2A1C6" w:fill="B2A1C6" w:themeFill="accent4" w:themeFillTint="9a"/>
      </w:tcPr>
    </w:tblStylePr>
    <w:tblStylePr w:type="lastCol">
      <w:rPr>
        <w:b/>
        <w:color w:val="404040"/>
      </w:rPr>
      <w:tblPr/>
    </w:tblStylePr>
    <w:tblStylePr w:type="lastRow">
      <w:rPr>
        <w:b/>
        <w:color w:val="404040"/>
      </w:rPr>
      <w:tblPr/>
    </w:tblStylePr>
  </w:style>
  <w:style w:type="table" w:customStyle="1" w:styleId="906">
    <w:name w:val="List Table 3 - Accent 5"/>
    <w:basedOn w:val="801"/>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108" w:type="dxa"/>
        <w:top w:w="0" w:type="dxa"/>
        <w:right w:w="108" w:type="dxa"/>
        <w:bottom w:w="0" w:type="dxa"/>
      </w:tblCellMar>
    </w:tblPr>
    <w:tblStylePr w:type="band1Horz">
      <w:rPr>
        <w:color w:val="404040"/>
        <w:sz w:val="22"/>
      </w:rPr>
      <w:tblPr/>
      <w:tcPr>
        <w:tcBorders>
          <w:top w:val="single" w:color="92CCDC" w:themeColor="accent5" w:sz="4" w:space="0"/>
          <w:bottom w:val="single" w:color="92CCDC" w:themeColor="accent5" w:sz="4" w:space="0"/>
        </w:tcBorders>
      </w:tcPr>
    </w:tblStylePr>
    <w:tblStylePr w:type="band1Vert">
      <w:rPr>
        <w:color w:val="404040"/>
        <w:sz w:val="22"/>
      </w:rPr>
      <w:tblPr/>
      <w:tcPr>
        <w:tcBorders>
          <w:left w:val="single" w:color="92CCDC" w:themeColor="accent5" w:sz="4" w:space="0"/>
          <w:right w:val="single" w:color="92CCDC" w:themeColor="accent5" w:sz="4" w:space="0"/>
        </w:tcBorders>
      </w:tcPr>
    </w:tblStylePr>
    <w:tblStylePr w:type="firstCol">
      <w:rPr>
        <w:b/>
        <w:color w:val="404040"/>
      </w:rPr>
      <w:tblPr/>
    </w:tblStylePr>
    <w:tblStylePr w:type="firstRow">
      <w:rPr>
        <w:b/>
        <w:color w:val="FFFFFF"/>
        <w:sz w:val="22"/>
      </w:rPr>
      <w:tblPr/>
      <w:tcPr>
        <w:shd w:val="clear" w:color="92CCDC" w:fill="92CCDC" w:themeFill="accent5" w:themeFillTint="9a"/>
      </w:tcPr>
    </w:tblStylePr>
    <w:tblStylePr w:type="lastCol">
      <w:rPr>
        <w:b/>
        <w:color w:val="404040"/>
      </w:rPr>
      <w:tblPr/>
    </w:tblStylePr>
    <w:tblStylePr w:type="lastRow">
      <w:rPr>
        <w:b/>
        <w:color w:val="404040"/>
      </w:rPr>
      <w:tblPr/>
    </w:tblStylePr>
  </w:style>
  <w:style w:type="table" w:customStyle="1" w:styleId="907">
    <w:name w:val="List Table 3 - Accent 6"/>
    <w:basedOn w:val="801"/>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108" w:type="dxa"/>
        <w:top w:w="0" w:type="dxa"/>
        <w:right w:w="108" w:type="dxa"/>
        <w:bottom w:w="0" w:type="dxa"/>
      </w:tblCellMar>
    </w:tblPr>
    <w:tblStylePr w:type="band1Horz">
      <w:rPr>
        <w:color w:val="404040"/>
        <w:sz w:val="22"/>
      </w:rPr>
      <w:tblPr/>
      <w:tcPr>
        <w:tcBorders>
          <w:top w:val="single" w:color="FAC090" w:themeColor="accent6" w:sz="4" w:space="0"/>
          <w:bottom w:val="single" w:color="FAC090" w:themeColor="accent6" w:sz="4" w:space="0"/>
        </w:tcBorders>
      </w:tcPr>
    </w:tblStylePr>
    <w:tblStylePr w:type="band1Vert">
      <w:rPr>
        <w:color w:val="404040"/>
        <w:sz w:val="22"/>
      </w:rPr>
      <w:tblPr/>
      <w:tcPr>
        <w:tcBorders>
          <w:left w:val="single" w:color="FAC090" w:themeColor="accent6" w:sz="4" w:space="0"/>
          <w:right w:val="single" w:color="FAC090" w:themeColor="accent6" w:sz="4" w:space="0"/>
        </w:tcBorders>
      </w:tcPr>
    </w:tblStylePr>
    <w:tblStylePr w:type="firstCol">
      <w:rPr>
        <w:b/>
        <w:color w:val="404040"/>
      </w:rPr>
      <w:tblPr/>
    </w:tblStylePr>
    <w:tblStylePr w:type="firstRow">
      <w:rPr>
        <w:b/>
        <w:color w:val="FFFFFF"/>
        <w:sz w:val="22"/>
      </w:rPr>
      <w:tblPr/>
      <w:tcPr>
        <w:shd w:val="clear" w:color="FAC090" w:fill="FAC090" w:themeFill="accent6" w:themeFillTint="98"/>
      </w:tcPr>
    </w:tblStylePr>
    <w:tblStylePr w:type="lastCol">
      <w:rPr>
        <w:b/>
        <w:color w:val="404040"/>
      </w:rPr>
      <w:tblPr/>
    </w:tblStylePr>
    <w:tblStylePr w:type="lastRow">
      <w:rPr>
        <w:b/>
        <w:color w:val="404040"/>
      </w:rPr>
      <w:tblPr/>
    </w:tblStylePr>
  </w:style>
  <w:style w:type="table" w:styleId="908">
    <w:name w:val="List Table 4"/>
    <w:basedOn w:val="80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09">
    <w:name w:val="List Table 4 - Accent 1"/>
    <w:basedOn w:val="801"/>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10">
    <w:name w:val="List Table 4 - Accent 2"/>
    <w:basedOn w:val="801"/>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rPr>
      <w:tblPr/>
    </w:tblStylePr>
    <w:tblStylePr w:type="firstRow">
      <w:rPr>
        <w:b/>
        <w:color w:val="FFFFFF"/>
        <w:sz w:val="22"/>
      </w:rPr>
      <w:tblPr/>
      <w:tcPr>
        <w:shd w:val="clear" w:color="C0504D" w:fill="C0504D" w:themeFill="accent2"/>
      </w:tcPr>
    </w:tblStylePr>
    <w:tblStylePr w:type="lastCol">
      <w:rPr>
        <w:b/>
        <w:color w:val="404040"/>
      </w:rPr>
      <w:tblPr/>
    </w:tblStylePr>
    <w:tblStylePr w:type="lastRow">
      <w:rPr>
        <w:b/>
        <w:color w:val="404040"/>
      </w:rPr>
      <w:tblPr/>
    </w:tblStylePr>
  </w:style>
  <w:style w:type="table" w:customStyle="1" w:styleId="911">
    <w:name w:val="List Table 4 - Accent 3"/>
    <w:basedOn w:val="801"/>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rPr>
      <w:tblPr/>
    </w:tblStylePr>
    <w:tblStylePr w:type="firstRow">
      <w:rPr>
        <w:b/>
        <w:color w:val="FFFFFF"/>
        <w:sz w:val="22"/>
      </w:rPr>
      <w:tblPr/>
      <w:tcPr>
        <w:shd w:val="clear" w:color="9BBB59" w:fill="9BBB59" w:themeFill="accent3"/>
      </w:tcPr>
    </w:tblStylePr>
    <w:tblStylePr w:type="lastCol">
      <w:rPr>
        <w:b/>
        <w:color w:val="404040"/>
      </w:rPr>
      <w:tblPr/>
    </w:tblStylePr>
    <w:tblStylePr w:type="lastRow">
      <w:rPr>
        <w:b/>
        <w:color w:val="404040"/>
      </w:rPr>
      <w:tblPr/>
    </w:tblStylePr>
  </w:style>
  <w:style w:type="table" w:customStyle="1" w:styleId="912">
    <w:name w:val="List Table 4 - Accent 4"/>
    <w:basedOn w:val="801"/>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rPr>
      <w:tblPr/>
    </w:tblStylePr>
    <w:tblStylePr w:type="firstRow">
      <w:rPr>
        <w:b/>
        <w:color w:val="FFFFFF"/>
        <w:sz w:val="22"/>
      </w:rPr>
      <w:tblPr/>
      <w:tcPr>
        <w:shd w:val="clear" w:color="8064A2" w:fill="8064A2" w:themeFill="accent4"/>
      </w:tcPr>
    </w:tblStylePr>
    <w:tblStylePr w:type="lastCol">
      <w:rPr>
        <w:b/>
        <w:color w:val="404040"/>
      </w:rPr>
      <w:tblPr/>
    </w:tblStylePr>
    <w:tblStylePr w:type="lastRow">
      <w:rPr>
        <w:b/>
        <w:color w:val="404040"/>
      </w:rPr>
      <w:tblPr/>
    </w:tblStylePr>
  </w:style>
  <w:style w:type="table" w:customStyle="1" w:styleId="913">
    <w:name w:val="List Table 4 - Accent 5"/>
    <w:basedOn w:val="801"/>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rPr>
      <w:tblPr/>
    </w:tblStylePr>
    <w:tblStylePr w:type="firstRow">
      <w:rPr>
        <w:b/>
        <w:color w:val="FFFFFF"/>
        <w:sz w:val="22"/>
      </w:rPr>
      <w:tblPr/>
      <w:tcPr>
        <w:shd w:val="clear" w:color="4BACC6" w:fill="4BACC6" w:themeFill="accent5"/>
      </w:tcPr>
    </w:tblStylePr>
    <w:tblStylePr w:type="lastCol">
      <w:rPr>
        <w:b/>
        <w:color w:val="404040"/>
      </w:rPr>
      <w:tblPr/>
    </w:tblStylePr>
    <w:tblStylePr w:type="lastRow">
      <w:rPr>
        <w:b/>
        <w:color w:val="404040"/>
      </w:rPr>
      <w:tblPr/>
    </w:tblStylePr>
  </w:style>
  <w:style w:type="table" w:customStyle="1" w:styleId="914">
    <w:name w:val="List Table 4 - Accent 6"/>
    <w:basedOn w:val="801"/>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rPr>
      <w:tblPr/>
    </w:tblStylePr>
    <w:tblStylePr w:type="firstRow">
      <w:rPr>
        <w:b/>
        <w:color w:val="FFFFFF"/>
        <w:sz w:val="22"/>
      </w:rPr>
      <w:tblPr/>
      <w:tcPr>
        <w:shd w:val="clear" w:color="F79646" w:fill="F79646" w:themeFill="accent6"/>
      </w:tcPr>
    </w:tblStylePr>
    <w:tblStylePr w:type="lastCol">
      <w:rPr>
        <w:b/>
        <w:color w:val="404040"/>
      </w:rPr>
      <w:tblPr/>
    </w:tblStylePr>
    <w:tblStylePr w:type="lastRow">
      <w:rPr>
        <w:b/>
        <w:color w:val="404040"/>
      </w:rPr>
      <w:tblPr/>
    </w:tblStylePr>
  </w:style>
  <w:style w:type="table" w:styleId="915">
    <w:name w:val="List Table 5 Dark"/>
    <w:basedOn w:val="80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16">
    <w:name w:val="List Table 5 Dark - Accent 1"/>
    <w:basedOn w:val="801"/>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val="FFFFFF" w:themeColor="light1"/>
        <w:sz w:val="22"/>
      </w:rPr>
      <w:tblPr/>
    </w:tblStylePr>
  </w:style>
  <w:style w:type="table" w:customStyle="1" w:styleId="917">
    <w:name w:val="List Table 5 Dark - Accent 2"/>
    <w:basedOn w:val="801"/>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val="FFFFFF" w:themeColor="light1"/>
        <w:sz w:val="22"/>
      </w:rPr>
      <w:tblPr/>
    </w:tblStylePr>
  </w:style>
  <w:style w:type="table" w:customStyle="1" w:styleId="918">
    <w:name w:val="List Table 5 Dark - Accent 3"/>
    <w:basedOn w:val="801"/>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val="FFFFFF" w:themeColor="light1"/>
        <w:sz w:val="22"/>
      </w:rPr>
      <w:tblPr/>
    </w:tblStylePr>
  </w:style>
  <w:style w:type="table" w:customStyle="1" w:styleId="919">
    <w:name w:val="List Table 5 Dark - Accent 4"/>
    <w:basedOn w:val="801"/>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val="FFFFFF" w:themeColor="light1"/>
        <w:sz w:val="22"/>
      </w:rPr>
      <w:tblPr/>
    </w:tblStylePr>
  </w:style>
  <w:style w:type="table" w:customStyle="1" w:styleId="920">
    <w:name w:val="List Table 5 Dark - Accent 5"/>
    <w:basedOn w:val="801"/>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val="FFFFFF" w:themeColor="light1"/>
        <w:sz w:val="22"/>
      </w:rPr>
      <w:tblPr/>
    </w:tblStylePr>
  </w:style>
  <w:style w:type="table" w:customStyle="1" w:styleId="921">
    <w:name w:val="List Table 5 Dark - Accent 6"/>
    <w:basedOn w:val="801"/>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val="FFFFFF" w:themeColor="light1"/>
        <w:sz w:val="22"/>
      </w:rPr>
      <w:tblPr/>
    </w:tblStylePr>
  </w:style>
  <w:style w:type="table" w:styleId="922">
    <w:name w:val="List Table 6 Colorful"/>
    <w:basedOn w:val="801"/>
    <w:uiPriority w:val="99"/>
    <w:tblPr>
      <w:tblStyleRowBandSize w:val="1"/>
      <w:tblStyleColBandSize w:val="1"/>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23">
    <w:name w:val="List Table 6 Colorful - Accent 1"/>
    <w:basedOn w:val="801"/>
    <w:uiPriority w:val="99"/>
    <w:tblPr>
      <w:tblStyleRowBandSize w:val="1"/>
      <w:tblStyleColBandSize w:val="1"/>
      <w:tblBorders>
        <w:top w:val="single" w:color="4F81BD" w:themeColor="accent1" w:sz="4" w:space="0"/>
        <w:bottom w:val="single" w:color="4F81BD" w:themeColor="accent1" w:sz="4" w:space="0"/>
      </w:tblBorders>
      <w:tblCellMar>
        <w:left w:w="108" w:type="dxa"/>
        <w:top w:w="0" w:type="dxa"/>
        <w:right w:w="108"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rPr>
        <w:b/>
        <w:color w:val="2A4A71" w:themeColor="accent1" w:themeShade="95"/>
      </w:rPr>
      <w:tblPr/>
    </w:tblStylePr>
    <w:tblStylePr w:type="firstRow">
      <w:rPr>
        <w:b/>
        <w:color w:val="2A4A71" w:themeColor="accent1" w:themeShade="95"/>
      </w:rPr>
      <w:tblPr/>
      <w:tcPr>
        <w:tcBorders>
          <w:bottom w:val="single" w:color="4F81BD" w:themeColor="accent1" w:sz="4" w:space="0"/>
        </w:tcBorders>
      </w:tcPr>
    </w:tblStylePr>
    <w:tblStylePr w:type="lastCol">
      <w:rPr>
        <w:b/>
        <w:color w:val="2A4A71" w:themeColor="accent1" w:themeShade="95"/>
      </w:rPr>
      <w:tblPr/>
    </w:tblStylePr>
    <w:tblStylePr w:type="lastRow">
      <w:rPr>
        <w:b/>
        <w:color w:val="2A4A71" w:themeColor="accent1" w:themeShade="95"/>
      </w:rPr>
      <w:tblPr/>
      <w:tcPr>
        <w:tcBorders>
          <w:top w:val="single" w:color="4F81BD" w:themeColor="accent1" w:sz="4" w:space="0"/>
        </w:tcBorders>
      </w:tcPr>
    </w:tblStylePr>
  </w:style>
  <w:style w:type="table" w:customStyle="1" w:styleId="924">
    <w:name w:val="List Table 6 Colorful - Accent 2"/>
    <w:basedOn w:val="801"/>
    <w:uiPriority w:val="99"/>
    <w:tblPr>
      <w:tblStyleRowBandSize w:val="1"/>
      <w:tblStyleColBandSize w:val="1"/>
      <w:tblBorders>
        <w:top w:val="single" w:color="D99695" w:themeColor="accent2" w:themeTint="97" w:sz="4" w:space="0"/>
        <w:bottom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4" w:space="0"/>
        </w:tcBorders>
      </w:tcPr>
    </w:tblStylePr>
    <w:tblStylePr w:type="lastCol">
      <w:rPr>
        <w:b/>
        <w:color w:val="D99695" w:themeColor="accent2" w:themeTint="97" w:themeShade="95"/>
      </w:rPr>
      <w:tblPr/>
    </w:tblStylePr>
    <w:tblStylePr w:type="lastRow">
      <w:rPr>
        <w:b/>
        <w:color w:val="D99695" w:themeColor="accent2" w:themeTint="97" w:themeShade="95"/>
      </w:rPr>
      <w:tblPr/>
      <w:tcPr>
        <w:tcBorders>
          <w:top w:val="single" w:color="D99695" w:themeColor="accent2" w:sz="4" w:space="0"/>
        </w:tcBorders>
      </w:tcPr>
    </w:tblStylePr>
  </w:style>
  <w:style w:type="table" w:customStyle="1" w:styleId="925">
    <w:name w:val="List Table 6 Colorful - Accent 3"/>
    <w:basedOn w:val="801"/>
    <w:uiPriority w:val="99"/>
    <w:tblPr>
      <w:tblStyleRowBandSize w:val="1"/>
      <w:tblStyleColBandSize w:val="1"/>
      <w:tblBorders>
        <w:top w:val="single" w:color="C3D69B" w:themeColor="accent3" w:themeTint="98" w:sz="4" w:space="0"/>
        <w:bottom w:val="single" w:color="C3D69B" w:themeColor="accent3" w:themeTint="98" w:sz="4" w:space="0"/>
      </w:tblBorders>
      <w:tblCellMar>
        <w:left w:w="108" w:type="dxa"/>
        <w:top w:w="0" w:type="dxa"/>
        <w:right w:w="108"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rPr>
        <w:b/>
        <w:color w:val="C3D69B" w:themeColor="accent3" w:themeTint="98" w:themeShade="95"/>
      </w:rPr>
      <w:tblPr/>
    </w:tblStylePr>
    <w:tblStylePr w:type="firstRow">
      <w:rPr>
        <w:b/>
        <w:color w:val="C3D69B" w:themeColor="accent3" w:themeTint="98" w:themeShade="95"/>
      </w:rPr>
      <w:tblPr/>
      <w:tcPr>
        <w:tcBorders>
          <w:bottom w:val="single" w:color="C3D69B" w:themeColor="accent3" w:sz="4" w:space="0"/>
        </w:tcBorders>
      </w:tcPr>
    </w:tblStylePr>
    <w:tblStylePr w:type="lastCol">
      <w:rPr>
        <w:b/>
        <w:color w:val="C3D69B" w:themeColor="accent3" w:themeTint="98" w:themeShade="95"/>
      </w:rPr>
      <w:tblPr/>
    </w:tblStylePr>
    <w:tblStylePr w:type="lastRow">
      <w:rPr>
        <w:b/>
        <w:color w:val="C3D69B" w:themeColor="accent3" w:themeTint="98" w:themeShade="95"/>
      </w:rPr>
      <w:tblPr/>
      <w:tcPr>
        <w:tcBorders>
          <w:top w:val="single" w:color="C3D69B" w:themeColor="accent3" w:sz="4" w:space="0"/>
        </w:tcBorders>
      </w:tcPr>
    </w:tblStylePr>
  </w:style>
  <w:style w:type="table" w:customStyle="1" w:styleId="926">
    <w:name w:val="List Table 6 Colorful - Accent 4"/>
    <w:basedOn w:val="801"/>
    <w:uiPriority w:val="99"/>
    <w:tblPr>
      <w:tblStyleRowBandSize w:val="1"/>
      <w:tblStyleColBandSize w:val="1"/>
      <w:tblBorders>
        <w:top w:val="single" w:color="B2A1C6" w:themeColor="accent4" w:themeTint="9a" w:sz="4" w:space="0"/>
        <w:bottom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4" w:space="0"/>
        </w:tcBorders>
      </w:tcPr>
    </w:tblStylePr>
    <w:tblStylePr w:type="lastCol">
      <w:rPr>
        <w:b/>
        <w:color w:val="B2A1C6" w:themeColor="accent4" w:themeTint="9a" w:themeShade="95"/>
      </w:rPr>
      <w:tblPr/>
    </w:tblStylePr>
    <w:tblStylePr w:type="lastRow">
      <w:rPr>
        <w:b/>
        <w:color w:val="B2A1C6" w:themeColor="accent4" w:themeTint="9a" w:themeShade="95"/>
      </w:rPr>
      <w:tblPr/>
      <w:tcPr>
        <w:tcBorders>
          <w:top w:val="single" w:color="B2A1C6" w:themeColor="accent4" w:sz="4" w:space="0"/>
        </w:tcBorders>
      </w:tcPr>
    </w:tblStylePr>
  </w:style>
  <w:style w:type="table" w:customStyle="1" w:styleId="927">
    <w:name w:val="List Table 6 Colorful - Accent 5"/>
    <w:basedOn w:val="801"/>
    <w:uiPriority w:val="99"/>
    <w:tblPr>
      <w:tblStyleRowBandSize w:val="1"/>
      <w:tblStyleColBandSize w:val="1"/>
      <w:tblBorders>
        <w:top w:val="single" w:color="92CCDC" w:themeColor="accent5" w:themeTint="9a" w:sz="4" w:space="0"/>
        <w:bottom w:val="single" w:color="92CCDC" w:themeColor="accent5" w:themeTint="9a" w:sz="4" w:space="0"/>
      </w:tblBorders>
      <w:tblCellMar>
        <w:left w:w="108" w:type="dxa"/>
        <w:top w:w="0" w:type="dxa"/>
        <w:right w:w="108"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rPr>
        <w:b/>
        <w:color w:val="92CCDC" w:themeColor="accent5" w:themeTint="9a" w:themeShade="95"/>
      </w:rPr>
      <w:tblPr/>
    </w:tblStylePr>
    <w:tblStylePr w:type="firstRow">
      <w:rPr>
        <w:b/>
        <w:color w:val="92CCDC" w:themeColor="accent5" w:themeTint="9a" w:themeShade="95"/>
      </w:rPr>
      <w:tblPr/>
      <w:tcPr>
        <w:tcBorders>
          <w:bottom w:val="single" w:color="92CCDC" w:themeColor="accent5" w:sz="4" w:space="0"/>
        </w:tcBorders>
      </w:tcPr>
    </w:tblStylePr>
    <w:tblStylePr w:type="lastCol">
      <w:rPr>
        <w:b/>
        <w:color w:val="92CCDC" w:themeColor="accent5" w:themeTint="9a" w:themeShade="95"/>
      </w:rPr>
      <w:tblPr/>
    </w:tblStylePr>
    <w:tblStylePr w:type="lastRow">
      <w:rPr>
        <w:b/>
        <w:color w:val="92CCDC" w:themeColor="accent5" w:themeTint="9a" w:themeShade="95"/>
      </w:rPr>
      <w:tblPr/>
      <w:tcPr>
        <w:tcBorders>
          <w:top w:val="single" w:color="92CCDC" w:themeColor="accent5" w:sz="4" w:space="0"/>
        </w:tcBorders>
      </w:tcPr>
    </w:tblStylePr>
  </w:style>
  <w:style w:type="table" w:customStyle="1" w:styleId="928">
    <w:name w:val="List Table 6 Colorful - Accent 6"/>
    <w:basedOn w:val="801"/>
    <w:uiPriority w:val="99"/>
    <w:tblPr>
      <w:tblStyleRowBandSize w:val="1"/>
      <w:tblStyleColBandSize w:val="1"/>
      <w:tblBorders>
        <w:top w:val="single" w:color="FAC090" w:themeColor="accent6" w:themeTint="98" w:sz="4" w:space="0"/>
        <w:bottom w:val="single" w:color="FAC090" w:themeColor="accent6" w:themeTint="98" w:sz="4" w:space="0"/>
      </w:tblBorders>
      <w:tblCellMar>
        <w:left w:w="108" w:type="dxa"/>
        <w:top w:w="0" w:type="dxa"/>
        <w:right w:w="108"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rPr>
        <w:b/>
        <w:color w:val="FAC090" w:themeColor="accent6" w:themeTint="98" w:themeShade="95"/>
      </w:rPr>
      <w:tblPr/>
    </w:tblStylePr>
    <w:tblStylePr w:type="firstRow">
      <w:rPr>
        <w:b/>
        <w:color w:val="FAC090" w:themeColor="accent6" w:themeTint="98" w:themeShade="95"/>
      </w:rPr>
      <w:tblPr/>
      <w:tcPr>
        <w:tcBorders>
          <w:bottom w:val="single" w:color="FAC090" w:themeColor="accent6" w:sz="4" w:space="0"/>
        </w:tcBorders>
      </w:tcPr>
    </w:tblStylePr>
    <w:tblStylePr w:type="lastCol">
      <w:rPr>
        <w:b/>
        <w:color w:val="FAC090" w:themeColor="accent6" w:themeTint="98" w:themeShade="95"/>
      </w:rPr>
      <w:tblPr/>
    </w:tblStylePr>
    <w:tblStylePr w:type="lastRow">
      <w:rPr>
        <w:b/>
        <w:color w:val="FAC090" w:themeColor="accent6" w:themeTint="98" w:themeShade="95"/>
      </w:rPr>
      <w:tblPr/>
      <w:tcPr>
        <w:tcBorders>
          <w:top w:val="single" w:color="FAC090" w:themeColor="accent6" w:sz="4" w:space="0"/>
        </w:tcBorders>
      </w:tcPr>
    </w:tblStylePr>
  </w:style>
  <w:style w:type="table" w:styleId="929">
    <w:name w:val="List Table 7 Colorful"/>
    <w:basedOn w:val="801"/>
    <w:uiPriority w:val="99"/>
    <w:tblPr>
      <w:tblStyleRowBandSize w:val="1"/>
      <w:tblStyleColBandSize w:val="1"/>
      <w:tblBorders>
        <w:right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30">
    <w:name w:val="List Table 7 Colorful - Accent 1"/>
    <w:basedOn w:val="801"/>
    <w:uiPriority w:val="99"/>
    <w:tblPr>
      <w:tblStyleRowBandSize w:val="1"/>
      <w:tblStyleColBandSize w:val="1"/>
      <w:tblBorders>
        <w:right w:val="single" w:color="4F81BD" w:themeColor="accent1" w:sz="4" w:space="0"/>
      </w:tblBorders>
      <w:tblCellMar>
        <w:left w:w="108" w:type="dxa"/>
        <w:top w:w="0" w:type="dxa"/>
        <w:right w:w="108"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31">
    <w:name w:val="List Table 7 Colorful - Accent 2"/>
    <w:basedOn w:val="801"/>
    <w:uiPriority w:val="99"/>
    <w:tblPr>
      <w:tblStyleRowBandSize w:val="1"/>
      <w:tblStyleColBandSize w:val="1"/>
      <w:tblBorders>
        <w:right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32">
    <w:name w:val="List Table 7 Colorful - Accent 3"/>
    <w:basedOn w:val="801"/>
    <w:uiPriority w:val="99"/>
    <w:tblPr>
      <w:tblStyleRowBandSize w:val="1"/>
      <w:tblStyleColBandSize w:val="1"/>
      <w:tblBorders>
        <w:right w:val="single" w:color="C3D69B" w:themeColor="accent3" w:themeTint="98" w:sz="4" w:space="0"/>
      </w:tblBorders>
      <w:tblCellMar>
        <w:left w:w="108" w:type="dxa"/>
        <w:top w:w="0" w:type="dxa"/>
        <w:right w:w="108"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33">
    <w:name w:val="List Table 7 Colorful - Accent 4"/>
    <w:basedOn w:val="801"/>
    <w:uiPriority w:val="99"/>
    <w:tblPr>
      <w:tblStyleRowBandSize w:val="1"/>
      <w:tblStyleColBandSize w:val="1"/>
      <w:tblBorders>
        <w:right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34">
    <w:name w:val="List Table 7 Colorful - Accent 5"/>
    <w:basedOn w:val="801"/>
    <w:uiPriority w:val="99"/>
    <w:tblPr>
      <w:tblStyleRowBandSize w:val="1"/>
      <w:tblStyleColBandSize w:val="1"/>
      <w:tblBorders>
        <w:right w:val="single" w:color="92CCDC" w:themeColor="accent5" w:themeTint="9a" w:sz="4" w:space="0"/>
      </w:tblBorders>
      <w:tblCellMar>
        <w:left w:w="108" w:type="dxa"/>
        <w:top w:w="0" w:type="dxa"/>
        <w:right w:w="108"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35">
    <w:name w:val="List Table 7 Colorful - Accent 6"/>
    <w:basedOn w:val="801"/>
    <w:uiPriority w:val="99"/>
    <w:tblPr>
      <w:tblStyleRowBandSize w:val="1"/>
      <w:tblStyleColBandSize w:val="1"/>
      <w:tblBorders>
        <w:right w:val="single" w:color="FAC090" w:themeColor="accent6" w:themeTint="98" w:sz="4" w:space="0"/>
      </w:tblBorders>
      <w:tblCellMar>
        <w:left w:w="108" w:type="dxa"/>
        <w:top w:w="0" w:type="dxa"/>
        <w:right w:w="108"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36">
    <w:name w:val="Lined - Accent"/>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37">
    <w:name w:val="Lined - Accent 1"/>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38">
    <w:name w:val="Lined - Accent 2"/>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39">
    <w:name w:val="Lined - Accent 3"/>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40">
    <w:name w:val="Lined - Accent 4"/>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41">
    <w:name w:val="Lined - Accent 5"/>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42">
    <w:name w:val="Lined - Accent 6"/>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43">
    <w:name w:val="Bordered &amp; Lined - Accent"/>
    <w:basedOn w:val="801"/>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44">
    <w:name w:val="Bordered &amp; Lined - Accent 1"/>
    <w:basedOn w:val="801"/>
    <w:uiPriority w:val="99"/>
    <w:rPr>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45">
    <w:name w:val="Bordered &amp; Lined - Accent 2"/>
    <w:basedOn w:val="801"/>
    <w:uiPriority w:val="99"/>
    <w:rPr>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46">
    <w:name w:val="Bordered &amp; Lined - Accent 3"/>
    <w:basedOn w:val="801"/>
    <w:uiPriority w:val="99"/>
    <w:rPr>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47">
    <w:name w:val="Bordered &amp; Lined - Accent 4"/>
    <w:basedOn w:val="801"/>
    <w:uiPriority w:val="99"/>
    <w:rPr>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48">
    <w:name w:val="Bordered &amp; Lined - Accent 5"/>
    <w:basedOn w:val="801"/>
    <w:uiPriority w:val="99"/>
    <w:rPr>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49">
    <w:name w:val="Bordered &amp; Lined - Accent 6"/>
    <w:basedOn w:val="801"/>
    <w:uiPriority w:val="99"/>
    <w:rPr>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50">
    <w:name w:val="Bordered"/>
    <w:basedOn w:val="80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108" w:type="dxa"/>
        <w:top w:w="0" w:type="dxa"/>
        <w:right w:w="108" w:type="dxa"/>
        <w:bottom w:w="0" w:type="dxa"/>
      </w:tblCellMar>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51">
    <w:name w:val="Bordered - Accent 1"/>
    <w:basedOn w:val="80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color w:val="404040"/>
        <w:sz w:val="22"/>
      </w:rPr>
      <w:tblPr/>
    </w:tblStylePr>
    <w:tblStylePr w:type="firstRow">
      <w:rPr>
        <w:color w:val="404040"/>
        <w:sz w:val="22"/>
      </w:rPr>
      <w:tblPr/>
      <w:tcPr>
        <w:tcBorders>
          <w:bottom w:val="single" w:color="4F81BD" w:themeColor="accent1" w:sz="12" w:space="0"/>
        </w:tcBorders>
      </w:tcPr>
    </w:tblStylePr>
    <w:tblStylePr w:type="lastCol">
      <w:rPr>
        <w:color w:val="404040"/>
        <w:sz w:val="22"/>
      </w:rPr>
      <w:tblPr/>
      <w:tcPr>
        <w:tcBorders>
          <w:left w:val="single" w:color="4F81BD" w:themeColor="accent1" w:sz="12" w:space="0"/>
        </w:tcBorders>
      </w:tcPr>
    </w:tblStylePr>
    <w:tblStylePr w:type="lastRow">
      <w:rPr>
        <w:color w:val="404040"/>
        <w:sz w:val="22"/>
      </w:rPr>
      <w:tblPr/>
      <w:tcPr>
        <w:tcBorders>
          <w:top w:val="single" w:color="4F81BD" w:themeColor="accent1" w:sz="12" w:space="0"/>
        </w:tcBorders>
      </w:tcPr>
    </w:tblStylePr>
  </w:style>
  <w:style w:type="table" w:customStyle="1" w:styleId="952">
    <w:name w:val="Bordered - Accent 2"/>
    <w:basedOn w:val="80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color w:val="404040"/>
        <w:sz w:val="22"/>
      </w:rPr>
      <w:tblPr/>
    </w:tblStylePr>
    <w:tblStylePr w:type="firstRow">
      <w:rPr>
        <w:color w:val="404040"/>
        <w:sz w:val="22"/>
      </w:rPr>
      <w:tblPr/>
      <w:tcPr>
        <w:tcBorders>
          <w:bottom w:val="single" w:color="D99695" w:themeColor="accent2" w:sz="12" w:space="0"/>
        </w:tcBorders>
      </w:tcPr>
    </w:tblStylePr>
    <w:tblStylePr w:type="lastCol">
      <w:rPr>
        <w:color w:val="404040"/>
        <w:sz w:val="22"/>
      </w:rPr>
      <w:tblPr/>
      <w:tcPr>
        <w:tcBorders>
          <w:left w:val="single" w:color="D99695" w:themeColor="accent2" w:sz="12" w:space="0"/>
        </w:tcBorders>
      </w:tcPr>
    </w:tblStylePr>
    <w:tblStylePr w:type="lastRow">
      <w:rPr>
        <w:color w:val="404040"/>
        <w:sz w:val="22"/>
      </w:rPr>
      <w:tblPr/>
      <w:tcPr>
        <w:tcBorders>
          <w:top w:val="single" w:color="D99695" w:themeColor="accent2" w:sz="12" w:space="0"/>
        </w:tcBorders>
      </w:tcPr>
    </w:tblStylePr>
  </w:style>
  <w:style w:type="table" w:customStyle="1" w:styleId="953">
    <w:name w:val="Bordered - Accent 3"/>
    <w:basedOn w:val="80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color w:val="404040"/>
        <w:sz w:val="22"/>
      </w:rPr>
      <w:tblPr/>
    </w:tblStylePr>
    <w:tblStylePr w:type="firstRow">
      <w:rPr>
        <w:color w:val="404040"/>
        <w:sz w:val="22"/>
      </w:rPr>
      <w:tblPr/>
      <w:tcPr>
        <w:tcBorders>
          <w:bottom w:val="single" w:color="C3D69B" w:themeColor="accent3" w:sz="12" w:space="0"/>
        </w:tcBorders>
      </w:tcPr>
    </w:tblStylePr>
    <w:tblStylePr w:type="lastCol">
      <w:rPr>
        <w:color w:val="404040"/>
        <w:sz w:val="22"/>
      </w:rPr>
      <w:tblPr/>
      <w:tcPr>
        <w:tcBorders>
          <w:left w:val="single" w:color="C3D69B" w:themeColor="accent3" w:sz="12" w:space="0"/>
        </w:tcBorders>
      </w:tcPr>
    </w:tblStylePr>
    <w:tblStylePr w:type="lastRow">
      <w:rPr>
        <w:color w:val="404040"/>
        <w:sz w:val="22"/>
      </w:rPr>
      <w:tblPr/>
      <w:tcPr>
        <w:tcBorders>
          <w:top w:val="single" w:color="C3D69B" w:themeColor="accent3" w:sz="12" w:space="0"/>
        </w:tcBorders>
      </w:tcPr>
    </w:tblStylePr>
  </w:style>
  <w:style w:type="table" w:customStyle="1" w:styleId="954">
    <w:name w:val="Bordered - Accent 4"/>
    <w:basedOn w:val="80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color w:val="404040"/>
        <w:sz w:val="22"/>
      </w:rPr>
      <w:tblPr/>
    </w:tblStylePr>
    <w:tblStylePr w:type="firstRow">
      <w:rPr>
        <w:color w:val="404040"/>
        <w:sz w:val="22"/>
      </w:rPr>
      <w:tblPr/>
      <w:tcPr>
        <w:tcBorders>
          <w:bottom w:val="single" w:color="B2A1C6" w:themeColor="accent4" w:sz="12" w:space="0"/>
        </w:tcBorders>
      </w:tcPr>
    </w:tblStylePr>
    <w:tblStylePr w:type="lastCol">
      <w:rPr>
        <w:color w:val="404040"/>
        <w:sz w:val="22"/>
      </w:rPr>
      <w:tblPr/>
      <w:tcPr>
        <w:tcBorders>
          <w:left w:val="single" w:color="B2A1C6" w:themeColor="accent4" w:sz="12" w:space="0"/>
        </w:tcBorders>
      </w:tcPr>
    </w:tblStylePr>
    <w:tblStylePr w:type="lastRow">
      <w:rPr>
        <w:color w:val="404040"/>
        <w:sz w:val="22"/>
      </w:rPr>
      <w:tblPr/>
      <w:tcPr>
        <w:tcBorders>
          <w:top w:val="single" w:color="B2A1C6" w:themeColor="accent4" w:sz="12" w:space="0"/>
        </w:tcBorders>
      </w:tcPr>
    </w:tblStylePr>
  </w:style>
  <w:style w:type="table" w:customStyle="1" w:styleId="955">
    <w:name w:val="Bordered - Accent 5"/>
    <w:basedOn w:val="80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color w:val="404040"/>
        <w:sz w:val="22"/>
      </w:rPr>
      <w:tblPr/>
    </w:tblStylePr>
    <w:tblStylePr w:type="firstRow">
      <w:rPr>
        <w:color w:val="404040"/>
        <w:sz w:val="22"/>
      </w:rPr>
      <w:tblPr/>
      <w:tcPr>
        <w:tcBorders>
          <w:bottom w:val="single" w:color="92CCDC" w:themeColor="accent5" w:sz="12" w:space="0"/>
        </w:tcBorders>
      </w:tcPr>
    </w:tblStylePr>
    <w:tblStylePr w:type="lastCol">
      <w:rPr>
        <w:color w:val="404040"/>
        <w:sz w:val="22"/>
      </w:rPr>
      <w:tblPr/>
      <w:tcPr>
        <w:tcBorders>
          <w:left w:val="single" w:color="92CCDC" w:themeColor="accent5" w:sz="12" w:space="0"/>
        </w:tcBorders>
      </w:tcPr>
    </w:tblStylePr>
    <w:tblStylePr w:type="lastRow">
      <w:rPr>
        <w:color w:val="404040"/>
        <w:sz w:val="22"/>
      </w:rPr>
      <w:tblPr/>
      <w:tcPr>
        <w:tcBorders>
          <w:top w:val="single" w:color="92CCDC" w:themeColor="accent5" w:sz="12" w:space="0"/>
        </w:tcBorders>
      </w:tcPr>
    </w:tblStylePr>
  </w:style>
  <w:style w:type="table" w:customStyle="1" w:styleId="956">
    <w:name w:val="Bordered - Accent 6"/>
    <w:basedOn w:val="80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color w:val="404040"/>
        <w:sz w:val="22"/>
      </w:rPr>
      <w:tblPr/>
    </w:tblStylePr>
    <w:tblStylePr w:type="firstRow">
      <w:rPr>
        <w:color w:val="404040"/>
        <w:sz w:val="22"/>
      </w:rPr>
      <w:tblPr/>
      <w:tcPr>
        <w:tcBorders>
          <w:bottom w:val="single" w:color="FAC090" w:themeColor="accent6" w:sz="12" w:space="0"/>
        </w:tcBorders>
      </w:tcPr>
    </w:tblStylePr>
    <w:tblStylePr w:type="lastCol">
      <w:rPr>
        <w:color w:val="404040"/>
        <w:sz w:val="22"/>
      </w:rPr>
      <w:tblPr/>
      <w:tcPr>
        <w:tcBorders>
          <w:left w:val="single" w:color="FAC090" w:themeColor="accent6" w:sz="12" w:space="0"/>
        </w:tcBorders>
      </w:tcPr>
    </w:tblStylePr>
    <w:tblStylePr w:type="lastRow">
      <w:rPr>
        <w:color w:val="404040"/>
        <w:sz w:val="22"/>
      </w:rPr>
      <w:tblPr/>
      <w:tcPr>
        <w:tcBorders>
          <w:top w:val="single" w:color="FAC090" w:themeColor="accent6" w:sz="12" w:space="0"/>
        </w:tcBorders>
      </w:tcPr>
    </w:tblStylePr>
  </w:style>
  <w:style w:type="table" w:styleId="978">
    <w:name w:val="Table Grid"/>
    <w:basedOn w:val="801"/>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mailto:ld@rushydro.ru" TargetMode="External"/><Relationship Id="rId5" Type="http://schemas.openxmlformats.org/officeDocument/2006/relationships/hyperlink" Target="http://www.rushydro.ru/" TargetMode="External"/><Relationship Id="rId6" Type="http://schemas.openxmlformats.org/officeDocument/2006/relationships/hyperlink" Target="consultantplus://offline/ref=94D5CE8889791A29DE57299515463A9D6134D8237B999C803E6F853513x2A2P" TargetMode="External"/><Relationship Id="rId7" Type="http://schemas.openxmlformats.org/officeDocument/2006/relationships/hyperlink" Target="consultantplus://offline/ref=94D5CE8889791A29DE57299515463A9D6135D2287D929C803E6F853513x2A2P" TargetMode="External"/><Relationship Id="rId8" Type="http://schemas.openxmlformats.org/officeDocument/2006/relationships/hyperlink" Target="consultantplus://offline/ref=79440D5123ABA6A25F43346AB59DBAAC7032C8E1556DA64FAED62E167F76889C2B7C475C32EFC59BJ8rDH" TargetMode="External"/><Relationship Id="rId9" Type="http://schemas.openxmlformats.org/officeDocument/2006/relationships/footer" Target="footer1.xml"/><Relationship Id="rId10" Type="http://schemas.openxmlformats.org/officeDocument/2006/relationships/header" Target="head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4.xml"/><Relationship Id="rId16" Type="http://schemas.openxmlformats.org/officeDocument/2006/relationships/footer" Target="footer5.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105</TotalTime>
  <Application>AlterOffice/2025.3.1.0$Linux_X86_64 LibreOffice_project/431cd1b79110582f53535c95ed0a2449aadc8bf9</Application>
  <AppVersion>15.0000</AppVersion>
  <Pages>28</Pages>
  <Words>9977</Words>
  <Characters>72091</Characters>
  <CharactersWithSpaces>82503</CharactersWithSpaces>
  <Paragraphs>434</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2023-03-13T22:43:00Z</dcterms:created>
  <dc:creator>UK VoHEC</dc:creator>
  <dc:description/>
  <dc:language>ru-RU</dc:language>
  <cp:lastModifiedBy>timoshenkova_ov@DGK.RU</cp:lastModifiedBy>
  <dcterms:modified xsi:type="dcterms:W3CDTF">2026-08-21T13:16:38Z</dcterms:modified>
  <cp:revision>145</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